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90" w:lineRule="exact"/>
        <w:jc w:val="center"/>
        <w:rPr>
          <w:rFonts w:hint="eastAsia" w:ascii="方正小标宋简体" w:hAnsi="Calibri" w:eastAsia="方正小标宋简体" w:cs="Calibri"/>
          <w:b w:val="0"/>
          <w:bCs w:val="0"/>
          <w:spacing w:val="4"/>
          <w:kern w:val="0"/>
          <w:sz w:val="44"/>
        </w:rPr>
      </w:pPr>
      <w:bookmarkStart w:id="0" w:name="_Toc513733535"/>
      <w:bookmarkStart w:id="1" w:name="_Toc433932907"/>
      <w:r>
        <w:rPr>
          <w:rFonts w:hint="eastAsia" w:ascii="方正小标宋简体" w:hAnsi="Calibri" w:eastAsia="方正小标宋简体" w:cs="Calibri"/>
          <w:b w:val="0"/>
          <w:bCs w:val="0"/>
          <w:spacing w:val="4"/>
          <w:kern w:val="0"/>
          <w:sz w:val="44"/>
          <w:lang w:val="en-US" w:eastAsia="zh-CN"/>
        </w:rPr>
        <w:t>2018年</w:t>
      </w:r>
      <w:r>
        <w:rPr>
          <w:rFonts w:hint="eastAsia" w:ascii="方正小标宋简体" w:hAnsi="Calibri" w:eastAsia="方正小标宋简体" w:cs="Calibri"/>
          <w:b w:val="0"/>
          <w:bCs w:val="0"/>
          <w:spacing w:val="4"/>
          <w:kern w:val="0"/>
          <w:sz w:val="44"/>
        </w:rPr>
        <w:t>网格化服务管理补助经费</w:t>
      </w:r>
    </w:p>
    <w:p>
      <w:pPr>
        <w:pStyle w:val="2"/>
        <w:spacing w:line="590" w:lineRule="exact"/>
        <w:jc w:val="center"/>
        <w:rPr>
          <w:rFonts w:ascii="方正小标宋简体" w:hAnsi="Calibri" w:eastAsia="方正小标宋简体" w:cs="Calibri"/>
          <w:b w:val="0"/>
          <w:bCs w:val="0"/>
          <w:spacing w:val="4"/>
          <w:kern w:val="0"/>
          <w:sz w:val="44"/>
        </w:rPr>
      </w:pPr>
      <w:r>
        <w:rPr>
          <w:rFonts w:hint="eastAsia" w:ascii="方正小标宋简体" w:hAnsi="Calibri" w:eastAsia="方正小标宋简体" w:cs="Calibri"/>
          <w:b w:val="0"/>
          <w:bCs w:val="0"/>
          <w:spacing w:val="4"/>
          <w:kern w:val="0"/>
          <w:sz w:val="44"/>
        </w:rPr>
        <w:t>项目支出绩效评价报告</w:t>
      </w:r>
    </w:p>
    <w:p>
      <w:pPr>
        <w:widowControl w:val="0"/>
        <w:overflowPunct/>
        <w:topLinePunct/>
        <w:autoSpaceDE/>
        <w:autoSpaceDN/>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根据《昆明市财政局关于开展2017年度市本级预算支出绩效自评工作的通知》（昆财绩〔2018〕56号）的要求，中共昆明市委政法委员会（以下简称“市委政法委”）对201</w:t>
      </w:r>
      <w:r>
        <w:rPr>
          <w:rFonts w:hint="eastAsia" w:ascii="仿宋_GB2312" w:eastAsia="仿宋_GB2312"/>
          <w:sz w:val="32"/>
          <w:szCs w:val="32"/>
          <w:lang w:val="en-US" w:eastAsia="zh-CN"/>
        </w:rPr>
        <w:t>8</w:t>
      </w:r>
      <w:r>
        <w:rPr>
          <w:rFonts w:hint="eastAsia" w:ascii="仿宋_GB2312" w:eastAsia="仿宋_GB2312"/>
          <w:sz w:val="32"/>
          <w:szCs w:val="32"/>
        </w:rPr>
        <w:t>年网格化服务管理补助经费项目进行绩效评价。现将评价情况报告如下：</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r>
        <w:rPr>
          <w:rFonts w:hint="eastAsia" w:ascii="黑体" w:hAnsi="黑体" w:eastAsia="黑体"/>
          <w:kern w:val="2"/>
          <w:sz w:val="32"/>
          <w:szCs w:val="32"/>
        </w:rPr>
        <w:t>一、项目基本情况</w:t>
      </w:r>
      <w:bookmarkEnd w:id="0"/>
      <w:bookmarkEnd w:id="1"/>
    </w:p>
    <w:p>
      <w:pPr>
        <w:widowControl w:val="0"/>
        <w:overflowPunct/>
        <w:autoSpaceDE/>
        <w:autoSpaceDN/>
        <w:adjustRightInd/>
        <w:spacing w:line="240" w:lineRule="auto"/>
        <w:ind w:firstLine="664" w:firstLineChars="200"/>
        <w:outlineLvl w:val="1"/>
        <w:rPr>
          <w:rFonts w:ascii="楷体_GB2312" w:eastAsia="楷体_GB2312" w:cs="Calibri"/>
          <w:spacing w:val="6"/>
          <w:sz w:val="32"/>
          <w:szCs w:val="32"/>
        </w:rPr>
      </w:pPr>
      <w:bookmarkStart w:id="2" w:name="_Toc433932908"/>
      <w:bookmarkStart w:id="3" w:name="_Toc513733536"/>
      <w:r>
        <w:rPr>
          <w:rFonts w:hint="eastAsia" w:ascii="楷体_GB2312" w:eastAsia="楷体_GB2312" w:cs="Calibri"/>
          <w:spacing w:val="6"/>
          <w:sz w:val="32"/>
          <w:szCs w:val="32"/>
        </w:rPr>
        <w:t>（一）项目概况</w:t>
      </w:r>
      <w:bookmarkEnd w:id="2"/>
      <w:bookmarkEnd w:id="3"/>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1.项目立项背景及目的</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中共云南省委办公厅、云南省人民政府办公厅关于在全省社区（村）推行网格化服务管理的意见》（云办发〔2014〕3号）、《中共昆明市委办公厅、昆明市人民政府办公厅关于在全市社区（村）推行网格化服务管理进一步加强群防群治工作的实施意见》（昆办发〔2014〕17号）文件，及结合市委政法委制定出台的《网格化服务管理专项补助资金管理使用办法（试行）》，在不打破现有行政区划、管理格局和基层民主自治的前提下，最大限度整合基层现有服务管理资源，将城乡社区（村）合理地划分为若干网格状的单元，对网格实行全方位、精细化的动态管理和为居民提供优质高效的服务，逐步建立以“人、地、物、事、情、组织”为核心的基础信息数据库，提升基层社会管理扁平化、精细化的水平，进一步强化基层基础建设和群防群治工作，筑牢维护社会稳定的第一道防线。为有效开展网格化服务管理工作，最终实现社情民意及时收集、矛盾纠纷就地化解、突发事件及时处置、刑事治安发案降低、安全事故隐患减少、信访案件下降、基层管理健全、服务不断完善、社会平安和谐、人民群众安全满意的目的。</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2.项目实施情况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中共昆明市委办公厅、昆明市人民政府办公厅关于在全市社区（村）推行网格化服务管理进一步加强群防群治工作的实施意见》（昆办发〔2014〕17号），推进网格化服务管理工作，完善基层社会治理和服务体系。</w:t>
      </w:r>
      <w:r>
        <w:rPr>
          <w:rFonts w:hint="eastAsia" w:ascii="仿宋_GB2312" w:eastAsia="仿宋_GB2312"/>
          <w:sz w:val="32"/>
          <w:szCs w:val="32"/>
          <w:highlight w:val="none"/>
        </w:rPr>
        <w:t>201</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年度已在全市19个县区、开发(度假)园区，共辖乡镇(街道)138个(含托管的阳宗镇),村（社区）1644个，展开网格化服务管理工作，共划分网格3862个，网格员配备数量为5716个。各县区、开发(度假)园区成立相应组织和工作机构,加强对本地网格化服务管</w:t>
      </w:r>
      <w:r>
        <w:rPr>
          <w:rFonts w:hint="eastAsia" w:ascii="仿宋_GB2312" w:eastAsia="仿宋_GB2312"/>
          <w:sz w:val="32"/>
          <w:szCs w:val="32"/>
        </w:rPr>
        <w:t>理工作的领导,推动全市网格化服务管理工作部署落实，要求网格管理员每日或定期走访辖区群众，全面采集基础信息，了解群众需求诉求，排查化解矛盾纠纷。</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3.资金来源及使用情况</w:t>
      </w:r>
    </w:p>
    <w:p>
      <w:pPr>
        <w:adjustRightInd/>
        <w:spacing w:line="240" w:lineRule="auto"/>
        <w:ind w:firstLine="640" w:firstLineChars="200"/>
        <w:rPr>
          <w:rFonts w:hint="eastAsia" w:ascii="仿宋_GB2312" w:eastAsia="仿宋_GB2312"/>
          <w:sz w:val="32"/>
          <w:szCs w:val="32"/>
        </w:rPr>
      </w:pPr>
      <w:r>
        <w:rPr>
          <w:rFonts w:hint="eastAsia" w:ascii="仿宋_GB2312" w:eastAsia="仿宋_GB2312"/>
          <w:sz w:val="32"/>
          <w:szCs w:val="32"/>
        </w:rPr>
        <w:t>根据《中共昆明市委办公厅、昆明市人民政府办公厅关于在全市社区（村）推行网格化服务管理进一步加强群防群治工作的实施意见》（昆办发〔2014〕17号）文件，安排从2014年起，市级财政每年安排全市网格化服务管理补助经费700.00万元，并根据社区变动情况、工作开展情况和财力情况，适时调整补助经费。该项目资金由市委政法委组织申报，由市财政统一下拨至全市19个县区，再由县区分配资金拨付至辖村（社区）。具体拨付情况见下表：</w:t>
      </w:r>
    </w:p>
    <w:tbl>
      <w:tblPr>
        <w:tblStyle w:val="93"/>
        <w:tblW w:w="9060" w:type="dxa"/>
        <w:jc w:val="center"/>
        <w:tblInd w:w="0" w:type="dxa"/>
        <w:tblLayout w:type="fixed"/>
        <w:tblCellMar>
          <w:top w:w="0" w:type="dxa"/>
          <w:left w:w="108" w:type="dxa"/>
          <w:bottom w:w="0" w:type="dxa"/>
          <w:right w:w="108" w:type="dxa"/>
        </w:tblCellMar>
      </w:tblPr>
      <w:tblGrid>
        <w:gridCol w:w="616"/>
        <w:gridCol w:w="1407"/>
        <w:gridCol w:w="1290"/>
        <w:gridCol w:w="1617"/>
        <w:gridCol w:w="1397"/>
        <w:gridCol w:w="1617"/>
        <w:gridCol w:w="1116"/>
      </w:tblGrid>
      <w:tr>
        <w:tblPrEx>
          <w:tblLayout w:type="fixed"/>
          <w:tblCellMar>
            <w:top w:w="0" w:type="dxa"/>
            <w:left w:w="108" w:type="dxa"/>
            <w:bottom w:w="0" w:type="dxa"/>
            <w:right w:w="108" w:type="dxa"/>
          </w:tblCellMar>
        </w:tblPrEx>
        <w:trPr>
          <w:trHeight w:val="360" w:hRule="atLeast"/>
          <w:jc w:val="center"/>
        </w:trPr>
        <w:tc>
          <w:tcPr>
            <w:tcW w:w="7944" w:type="dxa"/>
            <w:gridSpan w:val="6"/>
            <w:tcBorders>
              <w:top w:val="nil"/>
              <w:left w:val="nil"/>
              <w:bottom w:val="nil"/>
              <w:right w:val="nil"/>
            </w:tcBorders>
            <w:shd w:val="clear" w:color="auto" w:fill="auto"/>
            <w:vAlign w:val="center"/>
          </w:tcPr>
          <w:p>
            <w:pPr>
              <w:overflowPunct/>
              <w:autoSpaceDE/>
              <w:autoSpaceDN/>
              <w:adjustRightInd/>
              <w:spacing w:line="240" w:lineRule="auto"/>
              <w:jc w:val="left"/>
              <w:rPr>
                <w:rFonts w:ascii="宋体" w:hAnsi="宋体" w:cs="宋体"/>
                <w:sz w:val="18"/>
                <w:szCs w:val="18"/>
              </w:rPr>
            </w:pPr>
          </w:p>
        </w:tc>
        <w:tc>
          <w:tcPr>
            <w:tcW w:w="1116" w:type="dxa"/>
            <w:tcBorders>
              <w:top w:val="nil"/>
              <w:left w:val="nil"/>
              <w:bottom w:val="nil"/>
              <w:right w:val="nil"/>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单位：万元</w:t>
            </w:r>
          </w:p>
        </w:tc>
      </w:tr>
      <w:tr>
        <w:tblPrEx>
          <w:tblLayout w:type="fixed"/>
          <w:tblCellMar>
            <w:top w:w="0" w:type="dxa"/>
            <w:left w:w="108" w:type="dxa"/>
            <w:bottom w:w="0" w:type="dxa"/>
            <w:right w:w="108" w:type="dxa"/>
          </w:tblCellMar>
        </w:tblPrEx>
        <w:trPr>
          <w:trHeight w:val="720" w:hRule="atLeast"/>
          <w:jc w:val="center"/>
        </w:trPr>
        <w:tc>
          <w:tcPr>
            <w:tcW w:w="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序号</w:t>
            </w:r>
          </w:p>
        </w:tc>
        <w:tc>
          <w:tcPr>
            <w:tcW w:w="14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县（市）区</w:t>
            </w:r>
          </w:p>
        </w:tc>
        <w:tc>
          <w:tcPr>
            <w:tcW w:w="2907" w:type="dxa"/>
            <w:gridSpan w:val="2"/>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资金来源到位情况</w:t>
            </w:r>
          </w:p>
        </w:tc>
        <w:tc>
          <w:tcPr>
            <w:tcW w:w="3014" w:type="dxa"/>
            <w:gridSpan w:val="2"/>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资金使用</w:t>
            </w:r>
          </w:p>
        </w:tc>
        <w:tc>
          <w:tcPr>
            <w:tcW w:w="1116"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资金结余</w:t>
            </w:r>
            <w:r>
              <w:rPr>
                <w:rFonts w:hint="eastAsia" w:ascii="宋体" w:hAnsi="宋体" w:cs="宋体"/>
                <w:sz w:val="20"/>
              </w:rPr>
              <w:br w:type="textWrapping"/>
            </w:r>
            <w:r>
              <w:rPr>
                <w:rFonts w:hint="eastAsia" w:ascii="宋体" w:hAnsi="宋体" w:cs="宋体"/>
                <w:sz w:val="20"/>
              </w:rPr>
              <w:t>（市级补助资金）</w:t>
            </w:r>
          </w:p>
        </w:tc>
      </w:tr>
      <w:tr>
        <w:tblPrEx>
          <w:tblLayout w:type="fixed"/>
          <w:tblCellMar>
            <w:top w:w="0" w:type="dxa"/>
            <w:left w:w="108" w:type="dxa"/>
            <w:bottom w:w="0" w:type="dxa"/>
            <w:right w:w="108" w:type="dxa"/>
          </w:tblCellMar>
        </w:tblPrEx>
        <w:trPr>
          <w:trHeight w:val="480"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spacing w:line="240" w:lineRule="auto"/>
              <w:jc w:val="left"/>
              <w:rPr>
                <w:rFonts w:ascii="宋体" w:hAnsi="宋体" w:cs="宋体"/>
                <w:sz w:val="20"/>
              </w:rPr>
            </w:pPr>
          </w:p>
        </w:tc>
        <w:tc>
          <w:tcPr>
            <w:tcW w:w="1407" w:type="dxa"/>
            <w:vMerge w:val="continue"/>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spacing w:line="240" w:lineRule="auto"/>
              <w:jc w:val="left"/>
              <w:rPr>
                <w:rFonts w:ascii="宋体" w:hAnsi="宋体" w:cs="宋体"/>
                <w:sz w:val="20"/>
              </w:rPr>
            </w:pP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合计</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市本级财政安排</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合计</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市本级财政安排资金使用额</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当年结余</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五华区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40.00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40.00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40.00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40.00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2</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盘龙区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45.00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45.00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45.00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45.00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官渡区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47.00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47.00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47.00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47.00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西山区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47.00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47.00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47.00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47.00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东川区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60.00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60.00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60.00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60.00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6</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呈贡区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17.00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17.00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17.00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17.00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安宁市</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38.00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38.00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38.00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38.00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8</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晋宁县</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53.00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53.00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53.00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53.00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9</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富民县</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29.00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29.00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29.00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29.00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10</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宜良县</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50.00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50.00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50.00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50.00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11</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嵩明县</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30.00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30.00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30.00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30.00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12</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石林县</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36.00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36.00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36.00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36.00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13</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禄劝县</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74.00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74.00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74.00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74.00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14</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寻甸县</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56.00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56.00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56.00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56.00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15</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高新区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16</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经开区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9.00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9.00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9.00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9.00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17</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度假区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18</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阳宗海名胜区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14.00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14.00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14.00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14.00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19</w:t>
            </w: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sz w:val="20"/>
              </w:rPr>
            </w:pPr>
            <w:r>
              <w:rPr>
                <w:rFonts w:hint="eastAsia" w:ascii="宋体" w:hAnsi="宋体" w:cs="宋体"/>
                <w:sz w:val="20"/>
              </w:rPr>
              <w:t>倘甸两区</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41.00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41.00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41.00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41.00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r>
        <w:tblPrEx>
          <w:tblLayout w:type="fixed"/>
          <w:tblCellMar>
            <w:top w:w="0" w:type="dxa"/>
            <w:left w:w="108" w:type="dxa"/>
            <w:bottom w:w="0" w:type="dxa"/>
            <w:right w:w="108" w:type="dxa"/>
          </w:tblCellMar>
        </w:tblPrEx>
        <w:trPr>
          <w:trHeight w:val="312"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p>
        </w:tc>
        <w:tc>
          <w:tcPr>
            <w:tcW w:w="140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合  计</w:t>
            </w:r>
          </w:p>
        </w:tc>
        <w:tc>
          <w:tcPr>
            <w:tcW w:w="12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700.00</w:t>
            </w:r>
          </w:p>
        </w:tc>
        <w:tc>
          <w:tcPr>
            <w:tcW w:w="139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700.00</w:t>
            </w:r>
          </w:p>
        </w:tc>
        <w:tc>
          <w:tcPr>
            <w:tcW w:w="16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20"/>
              </w:rPr>
            </w:pPr>
            <w:r>
              <w:rPr>
                <w:rFonts w:hint="eastAsia" w:ascii="宋体" w:hAnsi="宋体" w:cs="宋体"/>
                <w:sz w:val="20"/>
              </w:rPr>
              <w:t>700.00</w:t>
            </w:r>
          </w:p>
        </w:tc>
        <w:tc>
          <w:tcPr>
            <w:tcW w:w="11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20"/>
              </w:rPr>
            </w:pPr>
            <w:r>
              <w:rPr>
                <w:rFonts w:hint="eastAsia" w:ascii="宋体" w:hAnsi="宋体" w:cs="宋体"/>
                <w:sz w:val="20"/>
              </w:rPr>
              <w:t xml:space="preserve">-   </w:t>
            </w:r>
          </w:p>
        </w:tc>
      </w:tr>
    </w:tbl>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2017年实际到位项目资金700.00万元，绩效评价小组通过对部分县（区）工作情况进行抽查，该项目资金主要用于对基层乡镇（街道）、社区（村）开展网格化服务管理工作补助、网格化管理信息平台建设和运行、网格员培训、开展宣传活动等工作的必要开支，大部分资金得到充分利用，少部分县（区）还存在资金结余的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4.组织及管理情况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（1）项目组织情况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市、县两级成立网格化服务管理工作指挥中心,负责指导推动工作,收集汇总情报信息,指挥重大事件处置。乡镇(街道)依托综治信访维稳中心设立网格化服务管理中心,负责人由乡镇(街道)党(工)委主要领导兼任。社区(村)依托综治服务站设立网格化服务管理工作站,由社区(村)党组织主要负责人任站长,负责网格管理员日常管理、信息收集汇总、处理反馈。通过设立以上机构,构建起市、县(区)、乡镇(街道)、社区(村)、网格五级网格化服务。</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（2）项目实施流程</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科学划分网格。在现行“市、县(区)、乡镇(街道)、社区(村)”四级管理结构下,按照“规模适度、尊重传统、界定清晰、方便管理”的要求,因地制宜、科学合理地将社区(村)划分为若干网格,作为社会管理和平安建设的基础单元。做到设置科学合理、网格间相互衔接,不留空白。网格划定后,网格联通全市范围,形成网状化的格局。</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搭建管理平台。市、县两级成立网格化服务管理工作指挥中心,负责指导推动工作,收集汇总情报信息,指挥重大事件处置,由党委、政府分管领导分别任组长、副组长,具体工作由社管综治办负责。乡镇(街道)依托综治信访维稳中心设立网格化服务管理中心,负责人由乡镇(街道)党(工)委主要领导兼任。社区(村)依托综治服务站设立网格化服务管理工作站,由社区(村)党组织主要负责人任站长,负责网格管理员日常管理、信息收集汇总、处理反馈。通过设立以上机构,构建起市、县(区)、乡镇(街道)、社区(村)、网格化服务管理体系。</w:t>
      </w:r>
    </w:p>
    <w:p>
      <w:pPr>
        <w:adjustRightInd/>
        <w:spacing w:line="240" w:lineRule="auto"/>
        <w:ind w:firstLine="640" w:firstLineChars="200"/>
        <w:rPr>
          <w:rFonts w:ascii="仿宋_GB2312" w:eastAsia="仿宋_GB2312"/>
          <w:sz w:val="32"/>
          <w:szCs w:val="32"/>
          <w:highlight w:val="yellow"/>
        </w:rPr>
      </w:pPr>
      <w:r>
        <w:rPr>
          <w:rFonts w:hint="eastAsia" w:ascii="仿宋_GB2312" w:eastAsia="仿宋_GB2312"/>
          <w:sz w:val="32"/>
          <w:szCs w:val="32"/>
        </w:rPr>
        <w:t>3.明确工作职责。网格管理员要发挥网格内信息采集员、政策宣传员、维稳巡逻员、现场处置员、矛盾调处员等作用。</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4.配置力量资源。合理整合和统筹配置网格服务管理力量,确保网格的持续运行和服务管理措施的有效落实。</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5.建立信息系统。以智慧城市建设为抓手,健全完善实名登记制度,提高信息化管理水平,确保网格化服务管理真正落到实处。依托和运用社会管理综治信息系统,搭建网格化服务管理信息平台,建立市、县(区)、乡镇(街道)、社区(村)四级社会管理综治信息平台,实现四级联网。</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6.建立管理机制。研究制定网格管理员工作职责、工作流程、绩效考核等方面的管理制度,为网格化服务管理有序运行、充分发挥作用提供机制保障。</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（3）资金拨付流程</w:t>
      </w:r>
    </w:p>
    <w:p>
      <w:pPr>
        <w:widowControl w:val="0"/>
        <w:overflowPunct/>
        <w:autoSpaceDE/>
        <w:autoSpaceDN/>
        <w:adjustRightInd/>
        <w:spacing w:line="240" w:lineRule="auto"/>
        <w:ind w:firstLine="200"/>
        <w:rPr>
          <w:rFonts w:ascii="仿宋_GB2312" w:eastAsia="仿宋_GB2312"/>
          <w:sz w:val="32"/>
          <w:szCs w:val="32"/>
        </w:rPr>
      </w:pPr>
      <w:bookmarkStart w:id="4" w:name="_Toc513733537"/>
      <w:bookmarkStart w:id="5" w:name="_Toc433932909"/>
      <w:r>
        <w:rPr>
          <w:rFonts w:hint="eastAsia" w:ascii="仿宋_GB2312" w:eastAsia="仿宋_GB2312"/>
          <w:sz w:val="32"/>
          <w:szCs w:val="32"/>
        </w:rPr>
        <w:t>该项目由市政法委负责资金的申报、拨付及日常管理，由市级财政将项目资金拨付至昆明市19个县区，再由各县区安排各辖区内街道（乡镇）资金，社区开展具体工作执行街道（乡镇）报账制度。</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r>
        <w:rPr>
          <w:rFonts w:hint="eastAsia" w:ascii="楷体_GB2312" w:eastAsia="楷体_GB2312" w:cs="Calibri"/>
          <w:spacing w:val="6"/>
          <w:sz w:val="32"/>
          <w:szCs w:val="32"/>
        </w:rPr>
        <w:t>（二）项目绩效目标</w:t>
      </w:r>
      <w:bookmarkEnd w:id="4"/>
      <w:bookmarkEnd w:id="5"/>
    </w:p>
    <w:p>
      <w:pPr>
        <w:widowControl w:val="0"/>
        <w:overflowPunct/>
        <w:topLinePunct/>
        <w:autoSpaceDE/>
        <w:autoSpaceDN/>
        <w:adjustRightInd/>
        <w:spacing w:line="240" w:lineRule="auto"/>
        <w:ind w:firstLine="640" w:firstLineChars="200"/>
        <w:rPr>
          <w:rFonts w:ascii="仿宋_GB2312" w:eastAsia="仿宋_GB2312"/>
          <w:sz w:val="32"/>
          <w:szCs w:val="32"/>
        </w:rPr>
      </w:pPr>
      <w:bookmarkStart w:id="6" w:name="_Toc513733538"/>
      <w:bookmarkStart w:id="7" w:name="_Toc433932910"/>
      <w:r>
        <w:rPr>
          <w:rFonts w:hint="eastAsia" w:ascii="仿宋_GB2312" w:eastAsia="仿宋_GB2312"/>
          <w:sz w:val="32"/>
          <w:szCs w:val="32"/>
        </w:rPr>
        <w:t>1.总目标。</w:t>
      </w:r>
    </w:p>
    <w:p>
      <w:pPr>
        <w:widowControl w:val="0"/>
        <w:overflowPunct/>
        <w:topLinePunct/>
        <w:autoSpaceDE/>
        <w:autoSpaceDN/>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依据申报资料，该项目以网格化建设覆盖率达到100%，从而巩固市、县（区）、乡镇（街道）、社区（村）、网格“五级联动”的网格化服务管理体系作为总目标。</w:t>
      </w:r>
    </w:p>
    <w:p>
      <w:pPr>
        <w:widowControl w:val="0"/>
        <w:overflowPunct/>
        <w:topLinePunct/>
        <w:autoSpaceDE/>
        <w:autoSpaceDN/>
        <w:adjustRightInd/>
        <w:spacing w:line="240" w:lineRule="auto"/>
        <w:ind w:firstLine="640" w:firstLineChars="200"/>
        <w:rPr>
          <w:rFonts w:hint="eastAsia" w:ascii="仿宋_GB2312" w:eastAsia="仿宋_GB2312"/>
          <w:sz w:val="32"/>
          <w:szCs w:val="32"/>
        </w:rPr>
      </w:pPr>
      <w:r>
        <w:rPr>
          <w:rFonts w:hint="eastAsia" w:ascii="仿宋_GB2312" w:eastAsia="仿宋_GB2312"/>
          <w:sz w:val="32"/>
          <w:szCs w:val="32"/>
        </w:rPr>
        <w:t>2.年度目标。</w:t>
      </w:r>
    </w:p>
    <w:p>
      <w:pPr>
        <w:widowControl w:val="0"/>
        <w:overflowPunct/>
        <w:topLinePunct/>
        <w:autoSpaceDE/>
        <w:autoSpaceDN/>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该项目为有效开展网格化服务管理工作，最终实现社情民意及时收集、矛盾纠纷就地化解、突发事件及时处置、刑事治安发案降低、安全事故隐患减少、信访案件下降、基层管理健全、服务不断完善、社会平安和谐、人民群众安全满意，以网格化建设覆盖率达到</w:t>
      </w:r>
      <w:r>
        <w:rPr>
          <w:rFonts w:hint="eastAsia" w:ascii="仿宋_GB2312" w:eastAsia="仿宋_GB2312"/>
          <w:sz w:val="32"/>
          <w:szCs w:val="32"/>
          <w:lang w:val="en-US" w:eastAsia="zh-CN"/>
        </w:rPr>
        <w:t>9</w:t>
      </w:r>
      <w:r>
        <w:rPr>
          <w:rFonts w:hint="eastAsia" w:ascii="仿宋_GB2312" w:eastAsia="仿宋_GB2312"/>
          <w:sz w:val="32"/>
          <w:szCs w:val="32"/>
        </w:rPr>
        <w:t>0%为201</w:t>
      </w:r>
      <w:r>
        <w:rPr>
          <w:rFonts w:hint="eastAsia" w:ascii="仿宋_GB2312" w:eastAsia="仿宋_GB2312"/>
          <w:sz w:val="32"/>
          <w:szCs w:val="32"/>
          <w:lang w:val="en-US" w:eastAsia="zh-CN"/>
        </w:rPr>
        <w:t>8</w:t>
      </w:r>
      <w:r>
        <w:rPr>
          <w:rFonts w:hint="eastAsia" w:ascii="仿宋_GB2312" w:eastAsia="仿宋_GB2312"/>
          <w:sz w:val="32"/>
          <w:szCs w:val="32"/>
        </w:rPr>
        <w:t>年度目标。</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r>
        <w:rPr>
          <w:rFonts w:hint="eastAsia" w:ascii="黑体" w:hAnsi="黑体" w:eastAsia="黑体"/>
          <w:kern w:val="2"/>
          <w:sz w:val="32"/>
          <w:szCs w:val="32"/>
        </w:rPr>
        <w:t>二、绩效评价工作情况</w:t>
      </w:r>
      <w:bookmarkEnd w:id="6"/>
      <w:bookmarkEnd w:id="7"/>
      <w:r>
        <w:rPr>
          <w:rFonts w:ascii="黑体" w:hAnsi="黑体" w:eastAsia="黑体"/>
          <w:kern w:val="2"/>
          <w:sz w:val="32"/>
          <w:szCs w:val="32"/>
        </w:rPr>
        <w:tab/>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8" w:name="_Toc433932911"/>
      <w:bookmarkStart w:id="9" w:name="_Toc513733539"/>
      <w:r>
        <w:rPr>
          <w:rFonts w:hint="eastAsia" w:ascii="楷体_GB2312" w:eastAsia="楷体_GB2312" w:cs="Calibri"/>
          <w:spacing w:val="6"/>
          <w:sz w:val="32"/>
          <w:szCs w:val="32"/>
        </w:rPr>
        <w:t>（一）绩效评价目的</w:t>
      </w:r>
      <w:bookmarkEnd w:id="8"/>
      <w:bookmarkEnd w:id="9"/>
    </w:p>
    <w:p>
      <w:pPr>
        <w:widowControl w:val="0"/>
        <w:overflowPunct/>
        <w:autoSpaceDE/>
        <w:autoSpaceDN/>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0" w:name="_Toc433932912"/>
      <w:bookmarkStart w:id="11" w:name="_Toc513733540"/>
      <w:r>
        <w:rPr>
          <w:rFonts w:hint="eastAsia" w:ascii="楷体_GB2312" w:eastAsia="楷体_GB2312" w:cs="Calibri"/>
          <w:spacing w:val="6"/>
          <w:sz w:val="32"/>
          <w:szCs w:val="32"/>
        </w:rPr>
        <w:t>（二）绩效评价</w:t>
      </w:r>
      <w:bookmarkEnd w:id="10"/>
      <w:r>
        <w:rPr>
          <w:rFonts w:hint="eastAsia" w:ascii="楷体_GB2312" w:eastAsia="楷体_GB2312" w:cs="Calibri"/>
          <w:spacing w:val="6"/>
          <w:sz w:val="32"/>
          <w:szCs w:val="32"/>
        </w:rPr>
        <w:t>工作方案制定过程</w:t>
      </w:r>
      <w:bookmarkEnd w:id="11"/>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1.前期调研</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昆明市财政局关于开展2017年度市本级预算支出绩效自评工作的通知》（昆财绩〔2018〕56号）确认的评价范围、内容、评价时间及要求，成立了绩效评价工作小组，通过市政法委提供的相关资料，初步了解项目实施内容和实施情况，在此基础上根据项目具体情况，结合项目特点设置共性指标和个性指标，通过与市政法委进行沟通和讨论后修改完善个性指标。</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2.研究文件</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被评价部门提供的《中共昆明市委办公厅、昆明市人民政府办公厅关于在全市社区（村）推行网格化服务管理进一步加强群防群治工作的实施意见》（昆办发〔2014〕17号）文件，初步了解项目实施内容及开展措施。结合《关于开展网格化服务管理工作的情况报告》、《网格化服务管理专项补助资金管理使用办法》等资料，设置完善个性指标，同时收集与项目预算、管理、绩效相关的评价数据，形成绩效评价的基础资料，并对基础资料的真实性、可靠性进行审阅。</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3.绩效评价指标体系及工作方案的设计。</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通过研究文件，按绩效指标建设的科学性、可操作性和有用性等三项标准，设计了指标体系。同时，对指标的权重和评分标准进行了设计和研制。为了完善指标，我们选择宜良县政法委进行试点评价，通过试点分析各指标评价数据是否可取、评价依据是否充分，评价结果是否客观、合理等，进一步修改完善指标体系，然后开展实地抽样评价工作。我评价小组选取抽样项目的地区为昆明五华区、盘龙区、官渡区、西山区、晋宁区、宜良县和禄劝县，对抽样项目进行现场踏勘、内业资料审核、考察实施内容完成情况，通过数据验证、指标量化、定性分析、问卷调查、综合评判等程序对项目绩效进行评价。</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2" w:name="_Toc433932913"/>
      <w:bookmarkStart w:id="13" w:name="_Toc513733541"/>
      <w:r>
        <w:rPr>
          <w:rFonts w:hint="eastAsia" w:ascii="楷体_GB2312" w:eastAsia="楷体_GB2312" w:cs="Calibri"/>
          <w:spacing w:val="6"/>
          <w:sz w:val="32"/>
          <w:szCs w:val="32"/>
        </w:rPr>
        <w:t>（三）绩效评价</w:t>
      </w:r>
      <w:bookmarkEnd w:id="12"/>
      <w:r>
        <w:rPr>
          <w:rFonts w:hint="eastAsia" w:ascii="楷体_GB2312" w:eastAsia="楷体_GB2312" w:cs="Calibri"/>
          <w:spacing w:val="6"/>
          <w:sz w:val="32"/>
          <w:szCs w:val="32"/>
        </w:rPr>
        <w:t>原则、评价方法</w:t>
      </w:r>
      <w:bookmarkEnd w:id="13"/>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财政支出绩效评价管理暂行办法》我们遵循科学规范原则、公正公开原则、分级分类原则、相关性原则、重要性原则、可比性原则、系统性原则和经济性原则，采用调查收集资料法、因素分析法、比较法和公众评判法等基本评价方法对该项目实施真实、客观、公正独立的评价，对具体项目采取定量指标与定性指标相结合，以定量为主、定性为辅的方式开展评价工作。</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4" w:name="_Toc513733542"/>
      <w:bookmarkStart w:id="15" w:name="_Toc433932915"/>
      <w:r>
        <w:rPr>
          <w:rFonts w:hint="eastAsia" w:ascii="楷体_GB2312" w:eastAsia="楷体_GB2312" w:cs="Calibri"/>
          <w:spacing w:val="6"/>
          <w:sz w:val="32"/>
          <w:szCs w:val="32"/>
        </w:rPr>
        <w:t>（四）绩效评价实施过程</w:t>
      </w:r>
      <w:bookmarkEnd w:id="14"/>
      <w:bookmarkEnd w:id="15"/>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1.数据填报和采集。</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绩效评价工作小组主要通过实地考察、面对面访谈，问卷调研等社会调查的方式来采集相关信息，以市政法委提交的项目资料为基础，对各个具体实施单位提供的资料进行核实、复核及初步分析，设置符合项目特点的绩效评价指标体系，对项目具体实施内容、情况和效果进行评价。</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2.社会调查</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绩效评价工作小组选取了昆明五华区、盘龙区、官渡区、西山区、晋宁区、宜良县和禄劝县作为主要抽样地区，通过走访各区街道（社区）发放相关调查问卷等方式从多个方面了解项目的真实情况，和群众满意度来进行社会调查。</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3.数据分析和撰写报告</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项目组根据绩效评价的原理和规范，对采集的数据进行甄别、分析和评分，初步形成评价结论，并提炼结论撰写报告，通过与市政法委反复沟通和讨论，完善绩效评价报告内容。</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6" w:name="_Toc433932916"/>
      <w:bookmarkStart w:id="17" w:name="_Toc513733543"/>
      <w:r>
        <w:rPr>
          <w:rFonts w:hint="eastAsia" w:ascii="楷体_GB2312" w:eastAsia="楷体_GB2312" w:cs="Calibri"/>
          <w:spacing w:val="6"/>
          <w:sz w:val="32"/>
          <w:szCs w:val="32"/>
        </w:rPr>
        <w:t>（五）本次绩效评价的局限性</w:t>
      </w:r>
      <w:bookmarkEnd w:id="16"/>
      <w:bookmarkEnd w:id="17"/>
    </w:p>
    <w:p>
      <w:pPr>
        <w:widowControl w:val="0"/>
        <w:overflowPunct/>
        <w:topLinePunct/>
        <w:autoSpaceDE/>
        <w:autoSpaceDN/>
        <w:adjustRightInd/>
        <w:spacing w:line="240" w:lineRule="auto"/>
        <w:ind w:firstLine="640" w:firstLineChars="200"/>
        <w:jc w:val="left"/>
        <w:rPr>
          <w:rFonts w:ascii="仿宋_GB2312" w:eastAsia="仿宋_GB2312"/>
          <w:sz w:val="32"/>
          <w:szCs w:val="32"/>
        </w:rPr>
      </w:pPr>
      <w:r>
        <w:rPr>
          <w:rFonts w:hint="eastAsia" w:ascii="仿宋_GB2312" w:eastAsia="仿宋_GB2312"/>
          <w:sz w:val="32"/>
          <w:szCs w:val="32"/>
        </w:rPr>
        <w:t>我们采用多种方式综合验证保证了绩效评价的真实、合理性，并最大限度地获取了充分、适当的评价证据，但是在评价过程中也存在诸多局限性，例如，我们只能针对抽查的部分群众发放问卷调查，最终掌握群众的满意程度，因为问卷调查主要为通过随机选择部分目标样本进行调查，因此可能无法代表所有人的意愿。</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bookmarkStart w:id="18" w:name="_Toc513733544"/>
      <w:bookmarkStart w:id="19" w:name="_Toc433932917"/>
      <w:r>
        <w:rPr>
          <w:rFonts w:hint="eastAsia" w:ascii="黑体" w:hAnsi="黑体" w:eastAsia="黑体"/>
          <w:kern w:val="2"/>
          <w:sz w:val="32"/>
          <w:szCs w:val="32"/>
        </w:rPr>
        <w:t>三、绩效分析及评价结论</w:t>
      </w:r>
      <w:bookmarkEnd w:id="18"/>
      <w:bookmarkEnd w:id="19"/>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0" w:name="_Toc513733545"/>
      <w:bookmarkStart w:id="21" w:name="_Toc433932918"/>
      <w:r>
        <w:rPr>
          <w:rFonts w:hint="eastAsia" w:ascii="楷体_GB2312" w:eastAsia="楷体_GB2312" w:cs="Calibri"/>
          <w:spacing w:val="6"/>
          <w:sz w:val="32"/>
          <w:szCs w:val="32"/>
        </w:rPr>
        <w:t>（一）评价结论</w:t>
      </w:r>
      <w:bookmarkEnd w:id="20"/>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1.评价结果</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根据制定的绩效指标考评体系，本次绩效考核得分</w:t>
      </w:r>
      <w:r>
        <w:rPr>
          <w:rFonts w:hint="eastAsia" w:ascii="仿宋_GB2312" w:eastAsia="仿宋_GB2312"/>
          <w:sz w:val="32"/>
          <w:szCs w:val="32"/>
          <w:lang w:val="en-US" w:eastAsia="zh-CN"/>
        </w:rPr>
        <w:t>94</w:t>
      </w:r>
      <w:r>
        <w:rPr>
          <w:rFonts w:hint="eastAsia" w:ascii="仿宋_GB2312" w:eastAsia="仿宋_GB2312"/>
          <w:sz w:val="32"/>
          <w:szCs w:val="32"/>
        </w:rPr>
        <w:t>分，绩效评价结果为</w:t>
      </w:r>
      <w:r>
        <w:rPr>
          <w:rFonts w:hint="eastAsia" w:ascii="仿宋_GB2312" w:eastAsia="仿宋_GB2312"/>
          <w:sz w:val="32"/>
          <w:szCs w:val="32"/>
          <w:lang w:eastAsia="zh-CN"/>
        </w:rPr>
        <w:t>优</w:t>
      </w:r>
      <w:r>
        <w:rPr>
          <w:rFonts w:hint="eastAsia" w:ascii="仿宋_GB2312" w:eastAsia="仿宋_GB2312"/>
          <w:sz w:val="32"/>
          <w:szCs w:val="32"/>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2.主要绩效</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本项目立项依据充分，制定了项目管理制度。完成相应宣传活动以及网格员培训活动，网格管理员定期走访辖区群众，并如实记录群众意见，201</w:t>
      </w:r>
      <w:r>
        <w:rPr>
          <w:rFonts w:hint="eastAsia" w:ascii="仿宋_GB2312" w:eastAsia="仿宋_GB2312"/>
          <w:sz w:val="32"/>
          <w:szCs w:val="32"/>
          <w:lang w:val="en-US" w:eastAsia="zh-CN"/>
        </w:rPr>
        <w:t>8</w:t>
      </w:r>
      <w:r>
        <w:rPr>
          <w:rFonts w:hint="eastAsia" w:ascii="仿宋_GB2312" w:eastAsia="仿宋_GB2312"/>
          <w:sz w:val="32"/>
          <w:szCs w:val="32"/>
        </w:rPr>
        <w:t>年度全市网格划分数量和网格员配备数量已达3500个以上，不存在网格工作开展不力、履职不到位、漏瞒报信息、失密泄密、未及时发现问题或处理问题的情形，以保证其他综治管理项目正常运行的基础管理平台。</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2" w:name="_Toc513733546"/>
      <w:r>
        <w:rPr>
          <w:rFonts w:hint="eastAsia" w:ascii="楷体_GB2312" w:eastAsia="楷体_GB2312" w:cs="Calibri"/>
          <w:spacing w:val="6"/>
          <w:sz w:val="32"/>
          <w:szCs w:val="32"/>
        </w:rPr>
        <w:t>（二）</w:t>
      </w:r>
      <w:bookmarkEnd w:id="21"/>
      <w:r>
        <w:rPr>
          <w:rFonts w:hint="eastAsia" w:ascii="楷体_GB2312" w:eastAsia="楷体_GB2312" w:cs="Calibri"/>
          <w:spacing w:val="6"/>
          <w:sz w:val="32"/>
          <w:szCs w:val="32"/>
        </w:rPr>
        <w:t>具体绩效分析</w:t>
      </w:r>
      <w:bookmarkEnd w:id="22"/>
    </w:p>
    <w:p>
      <w:pPr>
        <w:spacing w:line="240" w:lineRule="auto"/>
        <w:ind w:firstLine="640" w:firstLineChars="200"/>
        <w:rPr>
          <w:rFonts w:ascii="仿宋_GB2312" w:eastAsia="仿宋_GB2312"/>
          <w:sz w:val="32"/>
          <w:szCs w:val="32"/>
        </w:rPr>
      </w:pPr>
      <w:r>
        <w:rPr>
          <w:rFonts w:hint="eastAsia" w:ascii="仿宋_GB2312" w:eastAsia="仿宋_GB2312"/>
          <w:sz w:val="32"/>
          <w:szCs w:val="32"/>
        </w:rPr>
        <w:t>1.项目决策分析</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项目决策包括项目立项和项目目标。该项满分20分，得分</w:t>
      </w:r>
      <w:r>
        <w:rPr>
          <w:rFonts w:hint="eastAsia" w:ascii="仿宋_GB2312" w:eastAsia="仿宋_GB2312"/>
          <w:sz w:val="32"/>
          <w:szCs w:val="32"/>
          <w:lang w:val="en-US" w:eastAsia="zh-CN"/>
        </w:rPr>
        <w:t>19</w:t>
      </w:r>
      <w:r>
        <w:rPr>
          <w:rFonts w:hint="eastAsia" w:ascii="仿宋_GB2312" w:eastAsia="仿宋_GB2312"/>
          <w:sz w:val="32"/>
          <w:szCs w:val="32"/>
        </w:rPr>
        <w:t>分，得分率</w:t>
      </w:r>
      <w:r>
        <w:rPr>
          <w:rFonts w:hint="eastAsia" w:ascii="仿宋_GB2312" w:eastAsia="仿宋_GB2312"/>
          <w:sz w:val="32"/>
          <w:szCs w:val="32"/>
          <w:lang w:val="en-US" w:eastAsia="zh-CN"/>
        </w:rPr>
        <w:t>95</w:t>
      </w:r>
      <w:r>
        <w:rPr>
          <w:rFonts w:hint="eastAsia" w:ascii="仿宋_GB2312" w:eastAsia="仿宋_GB2312"/>
          <w:sz w:val="32"/>
          <w:szCs w:val="32"/>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（1）项目立项</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立项包括与部门中长期规划目标适应性、立项依据充分性和项目立项规范性。该项满分8分，得分为8分，该项目的立项依据为《中共昆明市委办公厅、昆明市人民政府办公厅关于在全市社区（村）推行网格化服务管理进一步加强群防群治工作的实施意见》（昆办发〔2014〕17号），立项依据充分，同时与部门职责相关。</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（2）项目目标</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项目目标包括绩效目标设定的合理性和绩效指标设定的明确性。该项满分12分，得分</w:t>
      </w:r>
      <w:r>
        <w:rPr>
          <w:rFonts w:hint="eastAsia" w:ascii="仿宋_GB2312" w:eastAsia="仿宋_GB2312"/>
          <w:sz w:val="32"/>
          <w:szCs w:val="32"/>
          <w:lang w:val="en-US" w:eastAsia="zh-CN"/>
        </w:rPr>
        <w:t>11</w:t>
      </w:r>
      <w:r>
        <w:rPr>
          <w:rFonts w:hint="eastAsia" w:ascii="仿宋_GB2312" w:eastAsia="仿宋_GB2312"/>
          <w:sz w:val="32"/>
          <w:szCs w:val="32"/>
        </w:rPr>
        <w:t>分。该项目的绩效目标设定基本明确，但部分目标设定不够合理：社会效益指标“服务不断完善、社会平安和谐”无法量化考核。</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2.项目管理分析</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项目管理包括投入管理、财务管理和项目实施。该项满分20分，得分</w:t>
      </w:r>
      <w:r>
        <w:rPr>
          <w:rFonts w:hint="eastAsia" w:ascii="仿宋_GB2312" w:eastAsia="仿宋_GB2312"/>
          <w:sz w:val="32"/>
          <w:szCs w:val="32"/>
          <w:lang w:val="en-US" w:eastAsia="zh-CN"/>
        </w:rPr>
        <w:t>18</w:t>
      </w:r>
      <w:r>
        <w:rPr>
          <w:rFonts w:hint="eastAsia" w:ascii="仿宋_GB2312" w:eastAsia="仿宋_GB2312"/>
          <w:sz w:val="32"/>
          <w:szCs w:val="32"/>
        </w:rPr>
        <w:t>分，得分率</w:t>
      </w:r>
      <w:r>
        <w:rPr>
          <w:rFonts w:hint="eastAsia" w:ascii="仿宋_GB2312" w:eastAsia="仿宋_GB2312"/>
          <w:sz w:val="32"/>
          <w:szCs w:val="32"/>
          <w:lang w:val="en-US" w:eastAsia="zh-CN"/>
        </w:rPr>
        <w:t>90</w:t>
      </w:r>
      <w:r>
        <w:rPr>
          <w:rFonts w:hint="eastAsia" w:ascii="仿宋_GB2312" w:eastAsia="仿宋_GB2312"/>
          <w:sz w:val="32"/>
          <w:szCs w:val="32"/>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（1）投入管理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投入管理包括预算编制合理性和预算执行率。该项满分4分，得分为4分，该项目根据省、市加强和规范社管综治工作经费保障和加强群防群治工作的要求，编制项目预算，编制预算合理，与项目支出相关，预算批复金额700.00万元，实际支出资金700.00万元，预算执行率为100%。</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（2）财务管理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财务管理包括资金使用情况、财务管理制度健全性和财务监控有效性。该项满分6分，得分为5分，该项目已制定专门的资金管理使用办法，该办法符合相关财务会计制度的规定。关于资金使用情况，在评价过程中发现宜良县、禄劝县在下拨项目资金时，整合网格化服务管理补助经费和治保会、调解会工作补助经费一同发放，不符合《网格化服务管理专项补助资金管理使用办法（实行）》“第三条 专项补助资金的使用和管理应当坚持厉行节约、规范合理、突出重点、专款专用的原则”的规定。</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（3）项目实施</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项目实施包括项目管理制度健全性和项目管理制度执行有效性。该项满分10分，得分为</w:t>
      </w:r>
      <w:r>
        <w:rPr>
          <w:rFonts w:hint="eastAsia" w:ascii="仿宋_GB2312" w:eastAsia="仿宋_GB2312"/>
          <w:sz w:val="32"/>
          <w:szCs w:val="32"/>
          <w:lang w:val="en-US" w:eastAsia="zh-CN"/>
        </w:rPr>
        <w:t>9</w:t>
      </w:r>
      <w:r>
        <w:rPr>
          <w:rFonts w:hint="eastAsia" w:ascii="仿宋_GB2312" w:eastAsia="仿宋_GB2312"/>
          <w:sz w:val="32"/>
          <w:szCs w:val="32"/>
        </w:rPr>
        <w:t>分，政委政法委针对该项目制定了相关的资金管理使用办法，在资金用途、监督检查、资金申请等方面作了简单的规定，但针对如何具体的开展监管措施没有详细的制度规定，未设定相关风险控制环节。</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3.项目绩效分析</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项目绩效包括项目产出和项目效益。该项满分60分，得分</w:t>
      </w:r>
      <w:r>
        <w:rPr>
          <w:rFonts w:hint="eastAsia" w:ascii="仿宋_GB2312" w:eastAsia="仿宋_GB2312"/>
          <w:sz w:val="32"/>
          <w:szCs w:val="32"/>
          <w:lang w:val="en-US" w:eastAsia="zh-CN"/>
        </w:rPr>
        <w:t>57.2</w:t>
      </w:r>
      <w:r>
        <w:rPr>
          <w:rFonts w:hint="eastAsia" w:ascii="仿宋_GB2312" w:eastAsia="仿宋_GB2312"/>
          <w:sz w:val="32"/>
          <w:szCs w:val="32"/>
        </w:rPr>
        <w:t>分，得分率9</w:t>
      </w:r>
      <w:r>
        <w:rPr>
          <w:rFonts w:hint="eastAsia" w:ascii="仿宋_GB2312" w:eastAsia="仿宋_GB2312"/>
          <w:sz w:val="32"/>
          <w:szCs w:val="32"/>
          <w:lang w:val="en-US" w:eastAsia="zh-CN"/>
        </w:rPr>
        <w:t>5.3</w:t>
      </w:r>
      <w:r>
        <w:rPr>
          <w:rFonts w:hint="eastAsia" w:ascii="仿宋_GB2312" w:eastAsia="仿宋_GB2312"/>
          <w:sz w:val="32"/>
          <w:szCs w:val="32"/>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（1）项目产出</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项目产出包括实际完成率、质量达标情况和资金使用率，该项满分35分，得分为</w:t>
      </w:r>
      <w:r>
        <w:rPr>
          <w:rFonts w:hint="eastAsia" w:ascii="仿宋_GB2312" w:eastAsia="仿宋_GB2312"/>
          <w:sz w:val="32"/>
          <w:szCs w:val="32"/>
          <w:lang w:val="en-US" w:eastAsia="zh-CN"/>
        </w:rPr>
        <w:t>32.2</w:t>
      </w:r>
      <w:r>
        <w:rPr>
          <w:rFonts w:hint="eastAsia" w:ascii="仿宋_GB2312" w:eastAsia="仿宋_GB2312"/>
          <w:sz w:val="32"/>
          <w:szCs w:val="32"/>
        </w:rPr>
        <w:t>分，得分率</w:t>
      </w:r>
      <w:r>
        <w:rPr>
          <w:rFonts w:hint="eastAsia" w:ascii="仿宋_GB2312" w:eastAsia="仿宋_GB2312"/>
          <w:sz w:val="32"/>
          <w:szCs w:val="32"/>
          <w:lang w:val="en-US" w:eastAsia="zh-CN"/>
        </w:rPr>
        <w:t>92</w:t>
      </w:r>
      <w:r>
        <w:rPr>
          <w:rFonts w:hint="eastAsia" w:ascii="仿宋_GB2312" w:eastAsia="仿宋_GB2312"/>
          <w:sz w:val="32"/>
          <w:szCs w:val="32"/>
        </w:rPr>
        <w:t>%。①网格化服务管理完成情况：该项满分23分，得分为</w:t>
      </w:r>
      <w:r>
        <w:rPr>
          <w:rFonts w:hint="eastAsia" w:ascii="仿宋_GB2312" w:eastAsia="仿宋_GB2312"/>
          <w:sz w:val="32"/>
          <w:szCs w:val="32"/>
          <w:lang w:val="en-US" w:eastAsia="zh-CN"/>
        </w:rPr>
        <w:t>21</w:t>
      </w:r>
      <w:r>
        <w:rPr>
          <w:rFonts w:hint="eastAsia" w:ascii="仿宋_GB2312" w:eastAsia="仿宋_GB2312"/>
          <w:sz w:val="32"/>
          <w:szCs w:val="32"/>
        </w:rPr>
        <w:t>分。各县（市）、区均各自已定期开展宣传活动；各县（市）、区已定期开展网格员培训活动；网格划分数量和网格员配备数量已达3500个以上；网格管理员定期走访辖区群众，并如实记录群众意见形成《民情日志》；社区（村）定期召开会议，并对走访中的问题进行研判；完成基础信息的采集并及时录入相关信息系统或记录工作台账，但就各县区、开发（度假）园区确定2个以上乡镇（街道）作为示范点，各乡镇（街道）要确定2个以上社区（村）作为示范点的要求，除五华区、西山区说明了示范点，其他县（区）均无法说明。②网格运行情况：该项满分3分，得分为3分。201</w:t>
      </w:r>
      <w:r>
        <w:rPr>
          <w:rFonts w:hint="eastAsia" w:ascii="仿宋_GB2312" w:eastAsia="仿宋_GB2312"/>
          <w:sz w:val="32"/>
          <w:szCs w:val="32"/>
          <w:lang w:val="en-US" w:eastAsia="zh-CN"/>
        </w:rPr>
        <w:t>8</w:t>
      </w:r>
      <w:r>
        <w:rPr>
          <w:rFonts w:hint="eastAsia" w:ascii="仿宋_GB2312" w:eastAsia="仿宋_GB2312"/>
          <w:sz w:val="32"/>
          <w:szCs w:val="32"/>
        </w:rPr>
        <w:t>年度不存在网格工作开展不力、履职不到位、漏瞒报信息、失密泄密、未及时发现问题或处理问题的情形。③资金使用情况：该项满分9分，得分为8.2分。抽查区（县）实际到位资金356万元，截至</w:t>
      </w:r>
      <w:r>
        <w:rPr>
          <w:rFonts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日实际使用资金299元，资金使用率为83.99%。详见下表：</w:t>
      </w:r>
    </w:p>
    <w:tbl>
      <w:tblPr>
        <w:tblStyle w:val="93"/>
        <w:tblW w:w="9060" w:type="dxa"/>
        <w:jc w:val="center"/>
        <w:tblInd w:w="0" w:type="dxa"/>
        <w:tblLayout w:type="fixed"/>
        <w:tblCellMar>
          <w:top w:w="0" w:type="dxa"/>
          <w:left w:w="108" w:type="dxa"/>
          <w:bottom w:w="0" w:type="dxa"/>
          <w:right w:w="108" w:type="dxa"/>
        </w:tblCellMar>
      </w:tblPr>
      <w:tblGrid>
        <w:gridCol w:w="656"/>
        <w:gridCol w:w="1222"/>
        <w:gridCol w:w="1816"/>
        <w:gridCol w:w="1817"/>
        <w:gridCol w:w="1817"/>
        <w:gridCol w:w="1732"/>
      </w:tblGrid>
      <w:tr>
        <w:tblPrEx>
          <w:tblLayout w:type="fixed"/>
          <w:tblCellMar>
            <w:top w:w="0" w:type="dxa"/>
            <w:left w:w="108" w:type="dxa"/>
            <w:bottom w:w="0" w:type="dxa"/>
            <w:right w:w="108" w:type="dxa"/>
          </w:tblCellMar>
        </w:tblPrEx>
        <w:trPr>
          <w:trHeight w:val="324" w:hRule="atLeast"/>
          <w:jc w:val="center"/>
        </w:trPr>
        <w:tc>
          <w:tcPr>
            <w:tcW w:w="7328" w:type="dxa"/>
            <w:gridSpan w:val="5"/>
            <w:tcBorders>
              <w:top w:val="nil"/>
              <w:left w:val="nil"/>
              <w:bottom w:val="single" w:color="auto" w:sz="4" w:space="0"/>
              <w:right w:val="nil"/>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p>
        </w:tc>
        <w:tc>
          <w:tcPr>
            <w:tcW w:w="1732" w:type="dxa"/>
            <w:tcBorders>
              <w:top w:val="nil"/>
              <w:left w:val="nil"/>
              <w:bottom w:val="single" w:color="auto" w:sz="4" w:space="0"/>
              <w:right w:val="nil"/>
            </w:tcBorders>
            <w:shd w:val="clear" w:color="auto" w:fill="auto"/>
            <w:vAlign w:val="center"/>
          </w:tcPr>
          <w:p>
            <w:pPr>
              <w:overflowPunct/>
              <w:autoSpaceDE/>
              <w:autoSpaceDN/>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单位：万元</w:t>
            </w:r>
          </w:p>
        </w:tc>
      </w:tr>
      <w:tr>
        <w:tblPrEx>
          <w:tblLayout w:type="fixed"/>
          <w:tblCellMar>
            <w:top w:w="0" w:type="dxa"/>
            <w:left w:w="108" w:type="dxa"/>
            <w:bottom w:w="0" w:type="dxa"/>
            <w:right w:w="108" w:type="dxa"/>
          </w:tblCellMar>
        </w:tblPrEx>
        <w:trPr>
          <w:trHeight w:val="360" w:hRule="atLeast"/>
          <w:jc w:val="center"/>
        </w:trPr>
        <w:tc>
          <w:tcPr>
            <w:tcW w:w="65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序号</w:t>
            </w:r>
          </w:p>
        </w:tc>
        <w:tc>
          <w:tcPr>
            <w:tcW w:w="12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县（区）</w:t>
            </w:r>
          </w:p>
        </w:tc>
        <w:tc>
          <w:tcPr>
            <w:tcW w:w="18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实际拨付资金</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年末结余</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实际使用资金</w:t>
            </w:r>
          </w:p>
        </w:tc>
        <w:tc>
          <w:tcPr>
            <w:tcW w:w="1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资金使用率</w:t>
            </w:r>
          </w:p>
        </w:tc>
      </w:tr>
      <w:tr>
        <w:tblPrEx>
          <w:tblLayout w:type="fixed"/>
          <w:tblCellMar>
            <w:top w:w="0" w:type="dxa"/>
            <w:left w:w="108" w:type="dxa"/>
            <w:bottom w:w="0" w:type="dxa"/>
            <w:right w:w="108" w:type="dxa"/>
          </w:tblCellMar>
        </w:tblPrEx>
        <w:trPr>
          <w:trHeight w:val="312" w:hRule="atLeast"/>
          <w:jc w:val="center"/>
        </w:trPr>
        <w:tc>
          <w:tcPr>
            <w:tcW w:w="65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1</w:t>
            </w:r>
          </w:p>
        </w:tc>
        <w:tc>
          <w:tcPr>
            <w:tcW w:w="12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五华区</w:t>
            </w:r>
          </w:p>
        </w:tc>
        <w:tc>
          <w:tcPr>
            <w:tcW w:w="18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40.00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40.00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w:t>
            </w:r>
          </w:p>
        </w:tc>
        <w:tc>
          <w:tcPr>
            <w:tcW w:w="1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0.00%</w:t>
            </w:r>
          </w:p>
        </w:tc>
      </w:tr>
      <w:tr>
        <w:tblPrEx>
          <w:tblLayout w:type="fixed"/>
          <w:tblCellMar>
            <w:top w:w="0" w:type="dxa"/>
            <w:left w:w="108" w:type="dxa"/>
            <w:bottom w:w="0" w:type="dxa"/>
            <w:right w:w="108" w:type="dxa"/>
          </w:tblCellMar>
        </w:tblPrEx>
        <w:trPr>
          <w:trHeight w:val="312" w:hRule="atLeast"/>
          <w:jc w:val="center"/>
        </w:trPr>
        <w:tc>
          <w:tcPr>
            <w:tcW w:w="65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2</w:t>
            </w:r>
          </w:p>
        </w:tc>
        <w:tc>
          <w:tcPr>
            <w:tcW w:w="12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盘龙区</w:t>
            </w:r>
          </w:p>
        </w:tc>
        <w:tc>
          <w:tcPr>
            <w:tcW w:w="18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45.00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45.00</w:t>
            </w:r>
          </w:p>
        </w:tc>
        <w:tc>
          <w:tcPr>
            <w:tcW w:w="1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100.00%</w:t>
            </w:r>
          </w:p>
        </w:tc>
      </w:tr>
      <w:tr>
        <w:tblPrEx>
          <w:tblLayout w:type="fixed"/>
          <w:tblCellMar>
            <w:top w:w="0" w:type="dxa"/>
            <w:left w:w="108" w:type="dxa"/>
            <w:bottom w:w="0" w:type="dxa"/>
            <w:right w:w="108" w:type="dxa"/>
          </w:tblCellMar>
        </w:tblPrEx>
        <w:trPr>
          <w:trHeight w:val="312" w:hRule="atLeast"/>
          <w:jc w:val="center"/>
        </w:trPr>
        <w:tc>
          <w:tcPr>
            <w:tcW w:w="65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3</w:t>
            </w:r>
          </w:p>
        </w:tc>
        <w:tc>
          <w:tcPr>
            <w:tcW w:w="12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官渡区</w:t>
            </w:r>
          </w:p>
        </w:tc>
        <w:tc>
          <w:tcPr>
            <w:tcW w:w="18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47.00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47.00</w:t>
            </w:r>
          </w:p>
        </w:tc>
        <w:tc>
          <w:tcPr>
            <w:tcW w:w="1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100.00%</w:t>
            </w:r>
          </w:p>
        </w:tc>
      </w:tr>
      <w:tr>
        <w:tblPrEx>
          <w:tblLayout w:type="fixed"/>
          <w:tblCellMar>
            <w:top w:w="0" w:type="dxa"/>
            <w:left w:w="108" w:type="dxa"/>
            <w:bottom w:w="0" w:type="dxa"/>
            <w:right w:w="108" w:type="dxa"/>
          </w:tblCellMar>
        </w:tblPrEx>
        <w:trPr>
          <w:trHeight w:val="312" w:hRule="atLeast"/>
          <w:jc w:val="center"/>
        </w:trPr>
        <w:tc>
          <w:tcPr>
            <w:tcW w:w="65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4</w:t>
            </w:r>
          </w:p>
        </w:tc>
        <w:tc>
          <w:tcPr>
            <w:tcW w:w="12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西山区</w:t>
            </w:r>
          </w:p>
        </w:tc>
        <w:tc>
          <w:tcPr>
            <w:tcW w:w="18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47.00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47.00</w:t>
            </w:r>
          </w:p>
        </w:tc>
        <w:tc>
          <w:tcPr>
            <w:tcW w:w="1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100.00%</w:t>
            </w:r>
          </w:p>
        </w:tc>
      </w:tr>
      <w:tr>
        <w:tblPrEx>
          <w:tblLayout w:type="fixed"/>
          <w:tblCellMar>
            <w:top w:w="0" w:type="dxa"/>
            <w:left w:w="108" w:type="dxa"/>
            <w:bottom w:w="0" w:type="dxa"/>
            <w:right w:w="108" w:type="dxa"/>
          </w:tblCellMar>
        </w:tblPrEx>
        <w:trPr>
          <w:trHeight w:val="312" w:hRule="atLeast"/>
          <w:jc w:val="center"/>
        </w:trPr>
        <w:tc>
          <w:tcPr>
            <w:tcW w:w="65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5</w:t>
            </w:r>
          </w:p>
        </w:tc>
        <w:tc>
          <w:tcPr>
            <w:tcW w:w="12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晋宁县</w:t>
            </w:r>
          </w:p>
        </w:tc>
        <w:tc>
          <w:tcPr>
            <w:tcW w:w="18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53.00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53.00</w:t>
            </w:r>
          </w:p>
        </w:tc>
        <w:tc>
          <w:tcPr>
            <w:tcW w:w="1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100.00%</w:t>
            </w:r>
          </w:p>
        </w:tc>
      </w:tr>
      <w:tr>
        <w:tblPrEx>
          <w:tblLayout w:type="fixed"/>
          <w:tblCellMar>
            <w:top w:w="0" w:type="dxa"/>
            <w:left w:w="108" w:type="dxa"/>
            <w:bottom w:w="0" w:type="dxa"/>
            <w:right w:w="108" w:type="dxa"/>
          </w:tblCellMar>
        </w:tblPrEx>
        <w:trPr>
          <w:trHeight w:val="312" w:hRule="atLeast"/>
          <w:jc w:val="center"/>
        </w:trPr>
        <w:tc>
          <w:tcPr>
            <w:tcW w:w="65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6</w:t>
            </w:r>
          </w:p>
        </w:tc>
        <w:tc>
          <w:tcPr>
            <w:tcW w:w="12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宜良县</w:t>
            </w:r>
          </w:p>
        </w:tc>
        <w:tc>
          <w:tcPr>
            <w:tcW w:w="18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50.00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50.00</w:t>
            </w:r>
          </w:p>
        </w:tc>
        <w:tc>
          <w:tcPr>
            <w:tcW w:w="1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100.00%</w:t>
            </w:r>
          </w:p>
        </w:tc>
      </w:tr>
      <w:tr>
        <w:tblPrEx>
          <w:tblLayout w:type="fixed"/>
          <w:tblCellMar>
            <w:top w:w="0" w:type="dxa"/>
            <w:left w:w="108" w:type="dxa"/>
            <w:bottom w:w="0" w:type="dxa"/>
            <w:right w:w="108" w:type="dxa"/>
          </w:tblCellMar>
        </w:tblPrEx>
        <w:trPr>
          <w:trHeight w:val="312" w:hRule="atLeast"/>
          <w:jc w:val="center"/>
        </w:trPr>
        <w:tc>
          <w:tcPr>
            <w:tcW w:w="656"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7</w:t>
            </w:r>
          </w:p>
        </w:tc>
        <w:tc>
          <w:tcPr>
            <w:tcW w:w="12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禄劝县</w:t>
            </w:r>
          </w:p>
        </w:tc>
        <w:tc>
          <w:tcPr>
            <w:tcW w:w="18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74.00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17.00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57.00</w:t>
            </w:r>
          </w:p>
        </w:tc>
        <w:tc>
          <w:tcPr>
            <w:tcW w:w="1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77.03%</w:t>
            </w:r>
          </w:p>
        </w:tc>
      </w:tr>
      <w:tr>
        <w:tblPrEx>
          <w:tblLayout w:type="fixed"/>
          <w:tblCellMar>
            <w:top w:w="0" w:type="dxa"/>
            <w:left w:w="108" w:type="dxa"/>
            <w:bottom w:w="0" w:type="dxa"/>
            <w:right w:w="108" w:type="dxa"/>
          </w:tblCellMar>
        </w:tblPrEx>
        <w:trPr>
          <w:trHeight w:val="396" w:hRule="atLeast"/>
          <w:jc w:val="center"/>
        </w:trPr>
        <w:tc>
          <w:tcPr>
            <w:tcW w:w="1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b/>
                <w:bCs/>
                <w:color w:val="000000"/>
                <w:sz w:val="22"/>
                <w:szCs w:val="22"/>
              </w:rPr>
            </w:pPr>
            <w:r>
              <w:rPr>
                <w:rFonts w:hint="eastAsia" w:ascii="宋体" w:hAnsi="宋体" w:cs="宋体"/>
                <w:b/>
                <w:bCs/>
                <w:color w:val="000000"/>
                <w:sz w:val="22"/>
                <w:szCs w:val="22"/>
              </w:rPr>
              <w:t>合计</w:t>
            </w:r>
          </w:p>
        </w:tc>
        <w:tc>
          <w:tcPr>
            <w:tcW w:w="181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356.00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57.00</w:t>
            </w:r>
          </w:p>
        </w:tc>
        <w:tc>
          <w:tcPr>
            <w:tcW w:w="181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299.00</w:t>
            </w:r>
          </w:p>
        </w:tc>
        <w:tc>
          <w:tcPr>
            <w:tcW w:w="1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83.99%</w:t>
            </w:r>
          </w:p>
        </w:tc>
      </w:tr>
    </w:tbl>
    <w:p>
      <w:pPr>
        <w:spacing w:line="240" w:lineRule="auto"/>
        <w:ind w:firstLine="640" w:firstLineChars="200"/>
        <w:rPr>
          <w:rFonts w:ascii="仿宋_GB2312" w:eastAsia="仿宋_GB2312"/>
          <w:sz w:val="32"/>
          <w:szCs w:val="32"/>
        </w:rPr>
      </w:pPr>
      <w:r>
        <w:rPr>
          <w:rFonts w:hint="eastAsia" w:ascii="仿宋_GB2312" w:eastAsia="仿宋_GB2312"/>
          <w:sz w:val="32"/>
          <w:szCs w:val="32"/>
        </w:rPr>
        <w:t>（2）项目效益</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项目效益包括社会效益、环境效益和服务对象满意度，该项满分25分，得分为25分。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通过发放的调查问卷反馈，大部分市民认为通过网格化服务管理的开展，突发事件基本能够及时处置，刑事治安发案也有所降低，通过网格员的走访排查，安全事故隐患减少，周围环境治安有所改善。群众问卷调查发放问卷52份，收回50分，综合满意度为94.42%；工作人员问卷调查发放问卷55份，收回50分，综合满意度为97.78%。</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bookmarkStart w:id="23" w:name="_Toc513733547"/>
      <w:bookmarkStart w:id="24" w:name="_Toc433932920"/>
      <w:r>
        <w:rPr>
          <w:rFonts w:hint="eastAsia" w:ascii="黑体" w:hAnsi="黑体" w:eastAsia="黑体"/>
          <w:kern w:val="2"/>
          <w:sz w:val="32"/>
          <w:szCs w:val="32"/>
        </w:rPr>
        <w:t>四、成本效益分析</w:t>
      </w:r>
      <w:bookmarkEnd w:id="23"/>
    </w:p>
    <w:p>
      <w:pPr>
        <w:spacing w:line="240" w:lineRule="auto"/>
        <w:ind w:left="160" w:leftChars="76" w:firstLine="640" w:firstLineChars="200"/>
        <w:rPr>
          <w:rFonts w:ascii="仿宋_GB2312" w:eastAsia="仿宋_GB2312"/>
          <w:sz w:val="32"/>
          <w:szCs w:val="32"/>
        </w:rPr>
      </w:pPr>
      <w:r>
        <w:rPr>
          <w:rFonts w:hint="eastAsia" w:ascii="仿宋_GB2312" w:eastAsia="仿宋_GB2312"/>
          <w:sz w:val="32"/>
          <w:szCs w:val="32"/>
        </w:rPr>
        <w:t>该项目预算资金为700.00万元，</w:t>
      </w:r>
      <w:bookmarkStart w:id="25" w:name="_Toc513468833"/>
      <w:r>
        <w:rPr>
          <w:rFonts w:hint="eastAsia" w:ascii="仿宋_GB2312" w:eastAsia="仿宋_GB2312"/>
          <w:sz w:val="32"/>
          <w:szCs w:val="32"/>
        </w:rPr>
        <w:t>拨付于全市19个县区（五华区40.00万元，盘龙区45.00万元，官渡区47.00万元，西山区47.00万元，东川区60万元，呈贡区17万元，安宁市38万元，晋宁县53.00万元，富民县29.00万元，宜良县50.00万元，嵩明县30.00万元，石林县36.00万元，禄劝县74.00万元，寻甸县56.00万元，高新区7.00万元，经开区9.00万元，度假区7万元，阳宗海名胜区14.00万元，倘甸两区41.00万元）。补助资金700.00万元已全部拨付完成，涉及3862个网格，5716个网格员，该项目对最大限度地整合基层现有服务管理资源，网格全方位、精细化的动态管理等方面起到了一定的促进作用，为居民提供优质高效的服务，发挥了该项补助资金的最大效益。</w:t>
      </w:r>
    </w:p>
    <w:bookmarkEnd w:id="25"/>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bookmarkStart w:id="26" w:name="_Toc513733548"/>
      <w:r>
        <w:rPr>
          <w:rFonts w:hint="eastAsia" w:ascii="黑体" w:hAnsi="黑体" w:eastAsia="黑体"/>
          <w:kern w:val="2"/>
          <w:sz w:val="32"/>
          <w:szCs w:val="32"/>
        </w:rPr>
        <w:t>五、主要经验及做法、存在的问题和建议</w:t>
      </w:r>
      <w:bookmarkEnd w:id="24"/>
      <w:bookmarkEnd w:id="26"/>
    </w:p>
    <w:p>
      <w:pPr>
        <w:widowControl w:val="0"/>
        <w:overflowPunct/>
        <w:autoSpaceDE/>
        <w:autoSpaceDN/>
        <w:adjustRightInd/>
        <w:spacing w:line="240" w:lineRule="auto"/>
        <w:ind w:firstLine="664" w:firstLineChars="200"/>
        <w:outlineLvl w:val="1"/>
        <w:rPr>
          <w:rFonts w:ascii="楷体_GB2312" w:eastAsia="楷体_GB2312" w:cs="Calibri"/>
          <w:spacing w:val="6"/>
          <w:sz w:val="32"/>
          <w:szCs w:val="32"/>
        </w:rPr>
      </w:pPr>
      <w:bookmarkStart w:id="27" w:name="_Toc433932921"/>
      <w:bookmarkStart w:id="28" w:name="_Toc513733549"/>
      <w:r>
        <w:rPr>
          <w:rFonts w:hint="eastAsia" w:ascii="楷体_GB2312" w:eastAsia="楷体_GB2312" w:cs="Calibri"/>
          <w:spacing w:val="6"/>
          <w:sz w:val="32"/>
          <w:szCs w:val="32"/>
        </w:rPr>
        <w:t>（一）主要经验和做法</w:t>
      </w:r>
      <w:bookmarkEnd w:id="27"/>
      <w:bookmarkEnd w:id="28"/>
    </w:p>
    <w:p>
      <w:pPr>
        <w:spacing w:line="240" w:lineRule="auto"/>
        <w:ind w:firstLine="640" w:firstLineChars="200"/>
        <w:rPr>
          <w:rFonts w:ascii="仿宋_GB2312" w:eastAsia="仿宋_GB2312"/>
          <w:sz w:val="32"/>
          <w:szCs w:val="32"/>
        </w:rPr>
      </w:pPr>
      <w:r>
        <w:rPr>
          <w:rFonts w:hint="eastAsia" w:ascii="仿宋_GB2312" w:eastAsia="仿宋_GB2312"/>
          <w:sz w:val="32"/>
          <w:szCs w:val="32"/>
        </w:rPr>
        <w:t>1.通过网格管理员定期走访辖区群众的方式,全面采集基础信息,了解群众需求诉求,排查化解矛盾纠纷, 并如实记录走访情况，准确反映工作状况, 为网格化工作有序运行充分发挥作用，提供机制保障。</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在全市推广应用“6995”信息服务平台,依托中国移动技术平台,按照群众自愿加入的原则,利用信息化手段对村(居)民手机进行编组管理,通过“十户(或以上)联防”方式,实现平台用户在紧急情况下拨打告警号码向群组内其他成员即时求助,获得就近及时救援的目的;通过进一步健全基层信息报送网络,实现综治各类基础信息的实时采集和动态录入,进一步提升基层网格化服务管理效能。</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9" w:name="_Toc433932922"/>
      <w:bookmarkStart w:id="30" w:name="_Toc513733550"/>
      <w:r>
        <w:rPr>
          <w:rFonts w:hint="eastAsia" w:ascii="楷体_GB2312" w:eastAsia="楷体_GB2312" w:cs="Calibri"/>
          <w:spacing w:val="6"/>
          <w:sz w:val="32"/>
          <w:szCs w:val="32"/>
        </w:rPr>
        <w:t>（二）存在的问题</w:t>
      </w:r>
      <w:bookmarkEnd w:id="29"/>
      <w:bookmarkEnd w:id="30"/>
    </w:p>
    <w:p>
      <w:pPr>
        <w:spacing w:line="240" w:lineRule="auto"/>
        <w:ind w:firstLine="640" w:firstLineChars="200"/>
        <w:rPr>
          <w:rFonts w:ascii="仿宋_GB2312" w:eastAsia="仿宋_GB2312"/>
          <w:sz w:val="32"/>
          <w:szCs w:val="32"/>
        </w:rPr>
      </w:pPr>
      <w:r>
        <w:rPr>
          <w:rFonts w:hint="eastAsia" w:ascii="宋体" w:hAnsi="宋体"/>
          <w:sz w:val="32"/>
          <w:szCs w:val="32"/>
        </w:rPr>
        <w:t>1.</w:t>
      </w:r>
      <w:r>
        <w:rPr>
          <w:rFonts w:hint="eastAsia" w:ascii="仿宋_GB2312" w:eastAsia="仿宋_GB2312"/>
          <w:sz w:val="32"/>
          <w:szCs w:val="32"/>
        </w:rPr>
        <w:t>整体管理机制不够完善。</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网格运行机制、工作机制缺乏整体性、系统性、协调性,基层组织体系有待进一步完善相关机制体系,网格化服务管理中心组织体系、制度机制、保障措施等无具体监管措施。</w:t>
      </w:r>
    </w:p>
    <w:p>
      <w:pPr>
        <w:spacing w:line="240" w:lineRule="auto"/>
        <w:ind w:firstLine="640" w:firstLineChars="200"/>
        <w:rPr>
          <w:rFonts w:ascii="仿宋_GB2312" w:eastAsia="仿宋_GB2312"/>
          <w:sz w:val="32"/>
          <w:szCs w:val="32"/>
        </w:rPr>
      </w:pPr>
      <w:r>
        <w:rPr>
          <w:rFonts w:hint="eastAsia" w:ascii="宋体" w:hAnsi="宋体"/>
          <w:sz w:val="32"/>
          <w:szCs w:val="32"/>
        </w:rPr>
        <w:t>2.</w:t>
      </w:r>
      <w:r>
        <w:rPr>
          <w:rFonts w:hint="eastAsia" w:ascii="仿宋_GB2312" w:eastAsia="仿宋_GB2312"/>
          <w:sz w:val="32"/>
          <w:szCs w:val="32"/>
        </w:rPr>
        <w:t>个别县（区）资金使用不规范</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抽查县（区）中存在个别县（区）资金混用的情况,如个别县下拨经费时整合网格化服务管理补助经费和治保会、调解会工作补助经费一同发放，不符合《网格化服务管理专项补助资金管理使用办法（实行）》“第三条 专项补助资金的使用和管理应当坚持厉行节约、规范合理、突出重点、专款专用的原则”的规定。</w:t>
      </w:r>
    </w:p>
    <w:p>
      <w:pPr>
        <w:spacing w:line="240" w:lineRule="auto"/>
        <w:ind w:firstLine="640" w:firstLineChars="200"/>
        <w:rPr>
          <w:rFonts w:ascii="仿宋_GB2312" w:eastAsia="仿宋_GB2312"/>
          <w:sz w:val="32"/>
          <w:szCs w:val="32"/>
        </w:rPr>
      </w:pPr>
      <w:r>
        <w:rPr>
          <w:rFonts w:hint="eastAsia" w:ascii="宋体" w:hAnsi="宋体"/>
          <w:sz w:val="32"/>
          <w:szCs w:val="32"/>
        </w:rPr>
        <w:t>3.</w:t>
      </w:r>
      <w:r>
        <w:rPr>
          <w:rFonts w:hint="eastAsia" w:ascii="仿宋_GB2312" w:eastAsia="仿宋_GB2312"/>
          <w:sz w:val="32"/>
          <w:szCs w:val="32"/>
        </w:rPr>
        <w:t>个别县（区）存在资金未及时下拨的情况</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抽查县（区）中个别县（区）存在2017年项目资金未及时下拨的情况，年终存在结余留用于网格综治中心建设等工作。</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31" w:name="_Toc433932923"/>
      <w:bookmarkStart w:id="32" w:name="_Toc513733551"/>
      <w:r>
        <w:rPr>
          <w:rFonts w:hint="eastAsia" w:ascii="楷体_GB2312" w:eastAsia="楷体_GB2312" w:cs="Calibri"/>
          <w:spacing w:val="6"/>
          <w:sz w:val="32"/>
          <w:szCs w:val="32"/>
        </w:rPr>
        <w:t>（三）建议和改进</w:t>
      </w:r>
      <w:bookmarkEnd w:id="31"/>
      <w:r>
        <w:rPr>
          <w:rFonts w:hint="eastAsia" w:ascii="楷体_GB2312" w:eastAsia="楷体_GB2312" w:cs="Calibri"/>
          <w:spacing w:val="6"/>
          <w:sz w:val="32"/>
          <w:szCs w:val="32"/>
        </w:rPr>
        <w:t>措施</w:t>
      </w:r>
      <w:bookmarkEnd w:id="32"/>
    </w:p>
    <w:p>
      <w:pPr>
        <w:spacing w:line="240" w:lineRule="auto"/>
        <w:ind w:firstLine="640" w:firstLineChars="200"/>
        <w:rPr>
          <w:rFonts w:ascii="仿宋_GB2312" w:eastAsia="仿宋_GB2312"/>
          <w:sz w:val="32"/>
          <w:szCs w:val="32"/>
        </w:rPr>
      </w:pPr>
      <w:r>
        <w:rPr>
          <w:rFonts w:hint="eastAsia" w:ascii="仿宋_GB2312" w:eastAsia="仿宋_GB2312"/>
          <w:sz w:val="32"/>
          <w:szCs w:val="32"/>
        </w:rPr>
        <w:t>1. 加快完善整体管理机制</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建议市委政法委加快对网格化服务管理中心组织体系、制度机制、保障措施等制度的制定，形成全面性管理，充分协调各方、整合资源，加强充足的人力、物力保障。</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2.加强对县（区）项目资金使用情况的监管</w:t>
      </w:r>
    </w:p>
    <w:p>
      <w:pPr>
        <w:spacing w:line="240" w:lineRule="auto"/>
        <w:ind w:firstLine="640" w:firstLineChars="200"/>
        <w:rPr>
          <w:rFonts w:hint="eastAsia" w:ascii="仿宋_GB2312" w:eastAsia="仿宋_GB2312"/>
          <w:sz w:val="32"/>
          <w:szCs w:val="32"/>
        </w:rPr>
      </w:pPr>
      <w:r>
        <w:rPr>
          <w:rFonts w:hint="eastAsia" w:ascii="仿宋_GB2312" w:eastAsia="仿宋_GB2312"/>
          <w:sz w:val="32"/>
          <w:szCs w:val="32"/>
        </w:rPr>
        <w:t>建议市委政法委要求各县（区）加强对项目资金的管理力度，确保专项补助资金的使用和管理始终坚持厉行节约、规范合理、突出重点、专款专用的原则，提高县（区）下拨项目资金的完成度，以确保项目的正常开展运行。</w:t>
      </w:r>
    </w:p>
    <w:p>
      <w:pPr>
        <w:spacing w:line="240" w:lineRule="auto"/>
        <w:ind w:firstLine="640" w:firstLineChars="200"/>
        <w:rPr>
          <w:rFonts w:hint="eastAsia" w:ascii="仿宋_GB2312" w:eastAsia="仿宋_GB2312"/>
          <w:sz w:val="32"/>
          <w:szCs w:val="32"/>
        </w:rPr>
      </w:pPr>
    </w:p>
    <w:p>
      <w:pPr>
        <w:spacing w:line="240" w:lineRule="auto"/>
        <w:ind w:firstLine="640" w:firstLineChars="200"/>
        <w:rPr>
          <w:rFonts w:hint="eastAsia" w:ascii="仿宋_GB2312" w:eastAsia="仿宋_GB2312"/>
          <w:sz w:val="32"/>
          <w:szCs w:val="32"/>
        </w:rPr>
      </w:pPr>
    </w:p>
    <w:p>
      <w:pPr>
        <w:spacing w:line="240" w:lineRule="auto"/>
        <w:ind w:firstLine="640" w:firstLineChars="200"/>
        <w:rPr>
          <w:rFonts w:hint="eastAsia" w:ascii="仿宋_GB2312" w:eastAsia="仿宋_GB2312"/>
          <w:sz w:val="32"/>
          <w:szCs w:val="32"/>
        </w:rPr>
      </w:pPr>
      <w:bookmarkStart w:id="33" w:name="_GoBack"/>
      <w:bookmarkEnd w:id="33"/>
    </w:p>
    <w:p>
      <w:pPr>
        <w:spacing w:line="240" w:lineRule="auto"/>
        <w:ind w:firstLine="640" w:firstLineChars="200"/>
        <w:jc w:val="right"/>
        <w:rPr>
          <w:rFonts w:hint="eastAsia" w:ascii="仿宋_GB2312" w:eastAsia="仿宋_GB2312"/>
          <w:sz w:val="32"/>
          <w:szCs w:val="32"/>
          <w:lang w:eastAsia="zh-CN"/>
        </w:rPr>
      </w:pPr>
      <w:r>
        <w:rPr>
          <w:rFonts w:hint="eastAsia" w:ascii="仿宋_GB2312" w:eastAsia="仿宋_GB2312"/>
          <w:sz w:val="32"/>
          <w:szCs w:val="32"/>
          <w:lang w:eastAsia="zh-CN"/>
        </w:rPr>
        <w:t>中共昆明市委政法委</w:t>
      </w:r>
    </w:p>
    <w:p>
      <w:pPr>
        <w:spacing w:line="240" w:lineRule="auto"/>
        <w:ind w:firstLine="640" w:firstLineChars="20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2019年5月28日</w:t>
      </w:r>
    </w:p>
    <w:p>
      <w:pPr>
        <w:widowControl w:val="0"/>
        <w:overflowPunct/>
        <w:autoSpaceDE/>
        <w:autoSpaceDN/>
        <w:adjustRightInd/>
        <w:spacing w:line="240" w:lineRule="auto"/>
        <w:ind w:left="960" w:hanging="960" w:hangingChars="300"/>
        <w:jc w:val="left"/>
        <w:rPr>
          <w:rFonts w:ascii="仿宋_GB2312" w:hAnsi="仿宋" w:eastAsia="仿宋_GB2312"/>
          <w:kern w:val="2"/>
          <w:sz w:val="32"/>
        </w:rPr>
      </w:pPr>
    </w:p>
    <w:sectPr>
      <w:headerReference r:id="rId3" w:type="default"/>
      <w:footerReference r:id="rId5" w:type="default"/>
      <w:headerReference r:id="rId4" w:type="even"/>
      <w:footerReference r:id="rId6" w:type="even"/>
      <w:pgSz w:w="11906" w:h="16838"/>
      <w:pgMar w:top="1361" w:right="1531" w:bottom="1361" w:left="1531" w:header="851" w:footer="992" w:gutter="0"/>
      <w:pgNumType w:start="1"/>
      <w:cols w:space="720" w:num="1"/>
      <w:docGrid w:type="linesAndChar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1619437341"/>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57"/>
      <w:jc w:val="cen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rPr>
        <w:rFonts w:asciiTheme="minorEastAsia" w:hAnsiTheme="minorEastAsia" w:eastAsiaTheme="minorEastAsia"/>
        <w:sz w:val="28"/>
        <w:szCs w:val="28"/>
      </w:rPr>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2062741625"/>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48"/>
      <w:lvlText w:val=""/>
      <w:lvlJc w:val="left"/>
      <w:pPr>
        <w:tabs>
          <w:tab w:val="left" w:pos="2040"/>
        </w:tabs>
        <w:ind w:left="2040" w:hanging="360"/>
      </w:pPr>
      <w:rPr>
        <w:rFonts w:hint="default" w:ascii="Wingdings" w:hAnsi="Wingdings"/>
      </w:rPr>
    </w:lvl>
  </w:abstractNum>
  <w:abstractNum w:abstractNumId="1">
    <w:nsid w:val="00000002"/>
    <w:multiLevelType w:val="singleLevel"/>
    <w:tmpl w:val="00000002"/>
    <w:lvl w:ilvl="0" w:tentative="0">
      <w:start w:val="1"/>
      <w:numFmt w:val="bullet"/>
      <w:pStyle w:val="21"/>
      <w:lvlText w:val=""/>
      <w:lvlJc w:val="left"/>
      <w:pPr>
        <w:tabs>
          <w:tab w:val="left" w:pos="1620"/>
        </w:tabs>
        <w:ind w:left="1620" w:hanging="360"/>
      </w:pPr>
      <w:rPr>
        <w:rFonts w:hint="default" w:ascii="Wingdings" w:hAnsi="Wingdings"/>
      </w:rPr>
    </w:lvl>
  </w:abstractNum>
  <w:abstractNum w:abstractNumId="2">
    <w:nsid w:val="00000003"/>
    <w:multiLevelType w:val="singleLevel"/>
    <w:tmpl w:val="0000000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3">
    <w:nsid w:val="0000000F"/>
    <w:multiLevelType w:val="singleLevel"/>
    <w:tmpl w:val="0000000F"/>
    <w:lvl w:ilvl="0" w:tentative="0">
      <w:start w:val="1"/>
      <w:numFmt w:val="decimal"/>
      <w:pStyle w:val="24"/>
      <w:lvlText w:val="%1."/>
      <w:lvlJc w:val="left"/>
      <w:pPr>
        <w:tabs>
          <w:tab w:val="left" w:pos="360"/>
        </w:tabs>
        <w:ind w:left="360" w:hanging="360"/>
      </w:pPr>
    </w:lvl>
  </w:abstractNum>
  <w:abstractNum w:abstractNumId="4">
    <w:nsid w:val="00000010"/>
    <w:multiLevelType w:val="singleLevel"/>
    <w:tmpl w:val="00000010"/>
    <w:lvl w:ilvl="0" w:tentative="0">
      <w:start w:val="1"/>
      <w:numFmt w:val="bullet"/>
      <w:pStyle w:val="28"/>
      <w:lvlText w:val=""/>
      <w:lvlJc w:val="left"/>
      <w:pPr>
        <w:tabs>
          <w:tab w:val="left" w:pos="360"/>
        </w:tabs>
        <w:ind w:left="360" w:hanging="360"/>
      </w:pPr>
      <w:rPr>
        <w:rFonts w:hint="default" w:ascii="Wingdings" w:hAnsi="Wingdings"/>
      </w:rPr>
    </w:lvl>
  </w:abstractNum>
  <w:abstractNum w:abstractNumId="5">
    <w:nsid w:val="00000011"/>
    <w:multiLevelType w:val="singleLevel"/>
    <w:tmpl w:val="00000011"/>
    <w:lvl w:ilvl="0" w:tentative="0">
      <w:start w:val="1"/>
      <w:numFmt w:val="decimal"/>
      <w:pStyle w:val="17"/>
      <w:lvlText w:val="%1."/>
      <w:lvlJc w:val="left"/>
      <w:pPr>
        <w:tabs>
          <w:tab w:val="left" w:pos="780"/>
        </w:tabs>
        <w:ind w:left="780" w:hanging="360"/>
      </w:pPr>
    </w:lvl>
  </w:abstractNum>
  <w:abstractNum w:abstractNumId="6">
    <w:nsid w:val="00000012"/>
    <w:multiLevelType w:val="singleLevel"/>
    <w:tmpl w:val="00000012"/>
    <w:lvl w:ilvl="0" w:tentative="0">
      <w:start w:val="1"/>
      <w:numFmt w:val="decimal"/>
      <w:pStyle w:val="49"/>
      <w:lvlText w:val="%1."/>
      <w:lvlJc w:val="left"/>
      <w:pPr>
        <w:tabs>
          <w:tab w:val="left" w:pos="1620"/>
        </w:tabs>
        <w:ind w:left="1620" w:hanging="360"/>
      </w:pPr>
    </w:lvl>
  </w:abstractNum>
  <w:abstractNum w:abstractNumId="7">
    <w:nsid w:val="00000013"/>
    <w:multiLevelType w:val="singleLevel"/>
    <w:tmpl w:val="00000013"/>
    <w:lvl w:ilvl="0" w:tentative="0">
      <w:start w:val="1"/>
      <w:numFmt w:val="decimal"/>
      <w:pStyle w:val="38"/>
      <w:lvlText w:val="%1."/>
      <w:lvlJc w:val="left"/>
      <w:pPr>
        <w:tabs>
          <w:tab w:val="left" w:pos="1200"/>
        </w:tabs>
        <w:ind w:left="1200" w:hanging="360"/>
      </w:pPr>
    </w:lvl>
  </w:abstractNum>
  <w:abstractNum w:abstractNumId="8">
    <w:nsid w:val="00000014"/>
    <w:multiLevelType w:val="singleLevel"/>
    <w:tmpl w:val="00000014"/>
    <w:lvl w:ilvl="0" w:tentative="0">
      <w:start w:val="1"/>
      <w:numFmt w:val="bullet"/>
      <w:pStyle w:val="36"/>
      <w:lvlText w:val=""/>
      <w:lvlJc w:val="left"/>
      <w:pPr>
        <w:tabs>
          <w:tab w:val="left" w:pos="1200"/>
        </w:tabs>
        <w:ind w:left="1200" w:hanging="360"/>
      </w:pPr>
      <w:rPr>
        <w:rFonts w:hint="default" w:ascii="Wingdings" w:hAnsi="Wingdings"/>
      </w:rPr>
    </w:lvl>
  </w:abstractNum>
  <w:abstractNum w:abstractNumId="9">
    <w:nsid w:val="34CA684F"/>
    <w:multiLevelType w:val="singleLevel"/>
    <w:tmpl w:val="34CA684F"/>
    <w:lvl w:ilvl="0" w:tentative="0">
      <w:start w:val="1"/>
      <w:numFmt w:val="decimal"/>
      <w:pStyle w:val="68"/>
      <w:lvlText w:val="%1."/>
      <w:lvlJc w:val="left"/>
      <w:pPr>
        <w:tabs>
          <w:tab w:val="left" w:pos="2040"/>
        </w:tabs>
        <w:ind w:left="2040" w:hanging="360"/>
      </w:pPr>
    </w:lvl>
  </w:abstractNum>
  <w:num w:numId="1">
    <w:abstractNumId w:val="5"/>
  </w:num>
  <w:num w:numId="2">
    <w:abstractNumId w:val="1"/>
  </w:num>
  <w:num w:numId="3">
    <w:abstractNumId w:val="3"/>
  </w:num>
  <w:num w:numId="4">
    <w:abstractNumId w:val="4"/>
  </w:num>
  <w:num w:numId="5">
    <w:abstractNumId w:val="8"/>
  </w:num>
  <w:num w:numId="6">
    <w:abstractNumId w:val="7"/>
  </w:num>
  <w:num w:numId="7">
    <w:abstractNumId w:val="2"/>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mirrorMargins w:val="1"/>
  <w:bordersDoNotSurroundHeader w:val="1"/>
  <w:bordersDoNotSurroundFooter w:val="1"/>
  <w:documentProtection w:enforcement="0"/>
  <w:defaultTabStop w:val="420"/>
  <w:evenAndOddHeaders w:val="1"/>
  <w:drawingGridHorizontalSpacing w:val="105"/>
  <w:drawingGridVerticalSpacing w:val="152"/>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34A"/>
    <w:rsid w:val="00001F9B"/>
    <w:rsid w:val="0000272E"/>
    <w:rsid w:val="0000510D"/>
    <w:rsid w:val="00005713"/>
    <w:rsid w:val="00007C95"/>
    <w:rsid w:val="0001342C"/>
    <w:rsid w:val="000145F3"/>
    <w:rsid w:val="00014E15"/>
    <w:rsid w:val="00015D7F"/>
    <w:rsid w:val="00016919"/>
    <w:rsid w:val="00017E25"/>
    <w:rsid w:val="00020588"/>
    <w:rsid w:val="00022EF2"/>
    <w:rsid w:val="00024C3A"/>
    <w:rsid w:val="00030ADE"/>
    <w:rsid w:val="00031E95"/>
    <w:rsid w:val="000332C1"/>
    <w:rsid w:val="00041B44"/>
    <w:rsid w:val="0004376B"/>
    <w:rsid w:val="00043E55"/>
    <w:rsid w:val="00046034"/>
    <w:rsid w:val="00046E41"/>
    <w:rsid w:val="00047DEE"/>
    <w:rsid w:val="0005015A"/>
    <w:rsid w:val="0005059E"/>
    <w:rsid w:val="000513C4"/>
    <w:rsid w:val="000525DA"/>
    <w:rsid w:val="0005344F"/>
    <w:rsid w:val="00053DF1"/>
    <w:rsid w:val="00054372"/>
    <w:rsid w:val="0005554F"/>
    <w:rsid w:val="00057176"/>
    <w:rsid w:val="00063A00"/>
    <w:rsid w:val="000646AD"/>
    <w:rsid w:val="00064C54"/>
    <w:rsid w:val="00067A07"/>
    <w:rsid w:val="00067B37"/>
    <w:rsid w:val="000712BF"/>
    <w:rsid w:val="000714C0"/>
    <w:rsid w:val="00071AB9"/>
    <w:rsid w:val="00072110"/>
    <w:rsid w:val="0007234C"/>
    <w:rsid w:val="000770A7"/>
    <w:rsid w:val="000856AB"/>
    <w:rsid w:val="00085FC7"/>
    <w:rsid w:val="00091FDC"/>
    <w:rsid w:val="000940F5"/>
    <w:rsid w:val="000A4786"/>
    <w:rsid w:val="000A4C96"/>
    <w:rsid w:val="000A5EB9"/>
    <w:rsid w:val="000B0589"/>
    <w:rsid w:val="000B15E5"/>
    <w:rsid w:val="000B3B50"/>
    <w:rsid w:val="000B4428"/>
    <w:rsid w:val="000B4BEA"/>
    <w:rsid w:val="000B7A4B"/>
    <w:rsid w:val="000C1858"/>
    <w:rsid w:val="000C1D17"/>
    <w:rsid w:val="000C546F"/>
    <w:rsid w:val="000D09E5"/>
    <w:rsid w:val="000D5738"/>
    <w:rsid w:val="000D75B5"/>
    <w:rsid w:val="000E01F6"/>
    <w:rsid w:val="000E0EB7"/>
    <w:rsid w:val="000E1A56"/>
    <w:rsid w:val="000E2D26"/>
    <w:rsid w:val="000E3FB7"/>
    <w:rsid w:val="000E472A"/>
    <w:rsid w:val="000E76A4"/>
    <w:rsid w:val="000E79CF"/>
    <w:rsid w:val="000E7D2E"/>
    <w:rsid w:val="000F0456"/>
    <w:rsid w:val="000F1778"/>
    <w:rsid w:val="001015B6"/>
    <w:rsid w:val="0010339D"/>
    <w:rsid w:val="0010456B"/>
    <w:rsid w:val="0010535C"/>
    <w:rsid w:val="00107707"/>
    <w:rsid w:val="001077AF"/>
    <w:rsid w:val="00111D6A"/>
    <w:rsid w:val="00112F3D"/>
    <w:rsid w:val="00115613"/>
    <w:rsid w:val="00121102"/>
    <w:rsid w:val="00123B94"/>
    <w:rsid w:val="00125A17"/>
    <w:rsid w:val="001267D7"/>
    <w:rsid w:val="001308BC"/>
    <w:rsid w:val="0013343C"/>
    <w:rsid w:val="001335FC"/>
    <w:rsid w:val="00136252"/>
    <w:rsid w:val="001419AD"/>
    <w:rsid w:val="0014461B"/>
    <w:rsid w:val="00145AEC"/>
    <w:rsid w:val="00146BBB"/>
    <w:rsid w:val="00147436"/>
    <w:rsid w:val="0014786E"/>
    <w:rsid w:val="00147CCB"/>
    <w:rsid w:val="00154050"/>
    <w:rsid w:val="00154B76"/>
    <w:rsid w:val="00155891"/>
    <w:rsid w:val="00157855"/>
    <w:rsid w:val="00162A90"/>
    <w:rsid w:val="00162C21"/>
    <w:rsid w:val="00172A27"/>
    <w:rsid w:val="00175E0A"/>
    <w:rsid w:val="001810AF"/>
    <w:rsid w:val="00183C5B"/>
    <w:rsid w:val="00184E3F"/>
    <w:rsid w:val="00184EF5"/>
    <w:rsid w:val="00193502"/>
    <w:rsid w:val="00193D9C"/>
    <w:rsid w:val="00194B57"/>
    <w:rsid w:val="00194F86"/>
    <w:rsid w:val="00197D62"/>
    <w:rsid w:val="001A2DAA"/>
    <w:rsid w:val="001A42B4"/>
    <w:rsid w:val="001A6D2C"/>
    <w:rsid w:val="001B1209"/>
    <w:rsid w:val="001B1224"/>
    <w:rsid w:val="001B1D81"/>
    <w:rsid w:val="001B2C66"/>
    <w:rsid w:val="001B3A7D"/>
    <w:rsid w:val="001B4591"/>
    <w:rsid w:val="001B521A"/>
    <w:rsid w:val="001B6048"/>
    <w:rsid w:val="001B69AA"/>
    <w:rsid w:val="001B69FB"/>
    <w:rsid w:val="001B6B59"/>
    <w:rsid w:val="001B72B2"/>
    <w:rsid w:val="001C1218"/>
    <w:rsid w:val="001C1A0B"/>
    <w:rsid w:val="001C1E06"/>
    <w:rsid w:val="001C4275"/>
    <w:rsid w:val="001D669B"/>
    <w:rsid w:val="001D6D4A"/>
    <w:rsid w:val="001E066F"/>
    <w:rsid w:val="001E122B"/>
    <w:rsid w:val="001E2291"/>
    <w:rsid w:val="001E42F7"/>
    <w:rsid w:val="001E44C2"/>
    <w:rsid w:val="001F2C4F"/>
    <w:rsid w:val="001F47B5"/>
    <w:rsid w:val="002002D6"/>
    <w:rsid w:val="002009FB"/>
    <w:rsid w:val="00200D78"/>
    <w:rsid w:val="00200E92"/>
    <w:rsid w:val="0020324C"/>
    <w:rsid w:val="002036F5"/>
    <w:rsid w:val="00205308"/>
    <w:rsid w:val="0020626F"/>
    <w:rsid w:val="00206491"/>
    <w:rsid w:val="00206569"/>
    <w:rsid w:val="002114C2"/>
    <w:rsid w:val="0021521D"/>
    <w:rsid w:val="0022089D"/>
    <w:rsid w:val="002208B7"/>
    <w:rsid w:val="00225D3E"/>
    <w:rsid w:val="00227345"/>
    <w:rsid w:val="00230CFC"/>
    <w:rsid w:val="00234F68"/>
    <w:rsid w:val="002355DC"/>
    <w:rsid w:val="00236631"/>
    <w:rsid w:val="0024086D"/>
    <w:rsid w:val="00240985"/>
    <w:rsid w:val="0024309C"/>
    <w:rsid w:val="00243146"/>
    <w:rsid w:val="0024452A"/>
    <w:rsid w:val="00252B75"/>
    <w:rsid w:val="00255C44"/>
    <w:rsid w:val="002561AC"/>
    <w:rsid w:val="0025661B"/>
    <w:rsid w:val="002570F3"/>
    <w:rsid w:val="002606B0"/>
    <w:rsid w:val="00260BE0"/>
    <w:rsid w:val="00263426"/>
    <w:rsid w:val="0026361A"/>
    <w:rsid w:val="0026402D"/>
    <w:rsid w:val="002662D7"/>
    <w:rsid w:val="00266BB0"/>
    <w:rsid w:val="00267775"/>
    <w:rsid w:val="002716FA"/>
    <w:rsid w:val="0027175E"/>
    <w:rsid w:val="00277E09"/>
    <w:rsid w:val="00280116"/>
    <w:rsid w:val="00280C7B"/>
    <w:rsid w:val="00280D9E"/>
    <w:rsid w:val="00287BC2"/>
    <w:rsid w:val="002913B1"/>
    <w:rsid w:val="00293201"/>
    <w:rsid w:val="00295D95"/>
    <w:rsid w:val="002965B9"/>
    <w:rsid w:val="00296AC4"/>
    <w:rsid w:val="0029766B"/>
    <w:rsid w:val="002A211F"/>
    <w:rsid w:val="002A3FD0"/>
    <w:rsid w:val="002A4578"/>
    <w:rsid w:val="002B26DA"/>
    <w:rsid w:val="002B4698"/>
    <w:rsid w:val="002B58BB"/>
    <w:rsid w:val="002C3E35"/>
    <w:rsid w:val="002C72CC"/>
    <w:rsid w:val="002D58D3"/>
    <w:rsid w:val="002E012B"/>
    <w:rsid w:val="002E3A72"/>
    <w:rsid w:val="002E42DE"/>
    <w:rsid w:val="002E4697"/>
    <w:rsid w:val="002E5078"/>
    <w:rsid w:val="002E6B1B"/>
    <w:rsid w:val="002F05E2"/>
    <w:rsid w:val="002F1F5B"/>
    <w:rsid w:val="002F3D33"/>
    <w:rsid w:val="002F686A"/>
    <w:rsid w:val="003008FB"/>
    <w:rsid w:val="00300D75"/>
    <w:rsid w:val="00301378"/>
    <w:rsid w:val="00301383"/>
    <w:rsid w:val="00303B90"/>
    <w:rsid w:val="00311DDF"/>
    <w:rsid w:val="00312194"/>
    <w:rsid w:val="00312DF0"/>
    <w:rsid w:val="0031465F"/>
    <w:rsid w:val="00316B96"/>
    <w:rsid w:val="00320359"/>
    <w:rsid w:val="003220FA"/>
    <w:rsid w:val="003225FC"/>
    <w:rsid w:val="0032274E"/>
    <w:rsid w:val="00330902"/>
    <w:rsid w:val="00330A5B"/>
    <w:rsid w:val="003312D4"/>
    <w:rsid w:val="00332EB2"/>
    <w:rsid w:val="00335764"/>
    <w:rsid w:val="003368B4"/>
    <w:rsid w:val="00340DC2"/>
    <w:rsid w:val="00341D48"/>
    <w:rsid w:val="00342925"/>
    <w:rsid w:val="00350524"/>
    <w:rsid w:val="00352E07"/>
    <w:rsid w:val="003534D6"/>
    <w:rsid w:val="003541BD"/>
    <w:rsid w:val="00355174"/>
    <w:rsid w:val="00355C5F"/>
    <w:rsid w:val="00357172"/>
    <w:rsid w:val="00361DD5"/>
    <w:rsid w:val="003631FA"/>
    <w:rsid w:val="00366F67"/>
    <w:rsid w:val="003717C4"/>
    <w:rsid w:val="00371B8F"/>
    <w:rsid w:val="003726EC"/>
    <w:rsid w:val="00374884"/>
    <w:rsid w:val="00374BA3"/>
    <w:rsid w:val="0037516D"/>
    <w:rsid w:val="003759B4"/>
    <w:rsid w:val="00376941"/>
    <w:rsid w:val="00377794"/>
    <w:rsid w:val="00381061"/>
    <w:rsid w:val="0038275A"/>
    <w:rsid w:val="003827FB"/>
    <w:rsid w:val="003828D6"/>
    <w:rsid w:val="00386A5B"/>
    <w:rsid w:val="003908F1"/>
    <w:rsid w:val="00392648"/>
    <w:rsid w:val="00394DB9"/>
    <w:rsid w:val="003977D1"/>
    <w:rsid w:val="003A234F"/>
    <w:rsid w:val="003A5B07"/>
    <w:rsid w:val="003A6995"/>
    <w:rsid w:val="003B4400"/>
    <w:rsid w:val="003B622A"/>
    <w:rsid w:val="003C7B8B"/>
    <w:rsid w:val="003C7F22"/>
    <w:rsid w:val="003D016F"/>
    <w:rsid w:val="003D4FBF"/>
    <w:rsid w:val="003D641A"/>
    <w:rsid w:val="003D7522"/>
    <w:rsid w:val="003E18EA"/>
    <w:rsid w:val="003E38B6"/>
    <w:rsid w:val="003E606A"/>
    <w:rsid w:val="003E6BC9"/>
    <w:rsid w:val="003F04F4"/>
    <w:rsid w:val="003F1B9A"/>
    <w:rsid w:val="003F32E8"/>
    <w:rsid w:val="003F514C"/>
    <w:rsid w:val="003F5EF6"/>
    <w:rsid w:val="004019A9"/>
    <w:rsid w:val="00401E68"/>
    <w:rsid w:val="004026E7"/>
    <w:rsid w:val="00402795"/>
    <w:rsid w:val="00406AB0"/>
    <w:rsid w:val="00406C76"/>
    <w:rsid w:val="00407D26"/>
    <w:rsid w:val="00413AE3"/>
    <w:rsid w:val="004151A9"/>
    <w:rsid w:val="00416140"/>
    <w:rsid w:val="0042360E"/>
    <w:rsid w:val="00423764"/>
    <w:rsid w:val="00430BC7"/>
    <w:rsid w:val="004325F6"/>
    <w:rsid w:val="00433B4A"/>
    <w:rsid w:val="0043462D"/>
    <w:rsid w:val="00437EA4"/>
    <w:rsid w:val="004412DF"/>
    <w:rsid w:val="00442A88"/>
    <w:rsid w:val="00444403"/>
    <w:rsid w:val="00444C1F"/>
    <w:rsid w:val="00446A64"/>
    <w:rsid w:val="00450248"/>
    <w:rsid w:val="00450850"/>
    <w:rsid w:val="0045125B"/>
    <w:rsid w:val="004532E8"/>
    <w:rsid w:val="0045365B"/>
    <w:rsid w:val="00454940"/>
    <w:rsid w:val="00454BA2"/>
    <w:rsid w:val="004553BF"/>
    <w:rsid w:val="00455E9C"/>
    <w:rsid w:val="004569D7"/>
    <w:rsid w:val="00457358"/>
    <w:rsid w:val="00457C3A"/>
    <w:rsid w:val="00460398"/>
    <w:rsid w:val="00460729"/>
    <w:rsid w:val="00461334"/>
    <w:rsid w:val="00462BC3"/>
    <w:rsid w:val="00463D4F"/>
    <w:rsid w:val="00465211"/>
    <w:rsid w:val="0046621F"/>
    <w:rsid w:val="00467FEF"/>
    <w:rsid w:val="00470781"/>
    <w:rsid w:val="00474F04"/>
    <w:rsid w:val="00476556"/>
    <w:rsid w:val="0048001E"/>
    <w:rsid w:val="00487755"/>
    <w:rsid w:val="00490365"/>
    <w:rsid w:val="0049104E"/>
    <w:rsid w:val="00491E3C"/>
    <w:rsid w:val="004970A7"/>
    <w:rsid w:val="004A085A"/>
    <w:rsid w:val="004A1013"/>
    <w:rsid w:val="004A1092"/>
    <w:rsid w:val="004A2845"/>
    <w:rsid w:val="004A37A1"/>
    <w:rsid w:val="004A4452"/>
    <w:rsid w:val="004A4E7B"/>
    <w:rsid w:val="004A795C"/>
    <w:rsid w:val="004A7CB0"/>
    <w:rsid w:val="004B0709"/>
    <w:rsid w:val="004B0C12"/>
    <w:rsid w:val="004B39B3"/>
    <w:rsid w:val="004B5D0F"/>
    <w:rsid w:val="004B772B"/>
    <w:rsid w:val="004C03B9"/>
    <w:rsid w:val="004C2298"/>
    <w:rsid w:val="004C5B40"/>
    <w:rsid w:val="004C7401"/>
    <w:rsid w:val="004C7DDA"/>
    <w:rsid w:val="004D3940"/>
    <w:rsid w:val="004D49A8"/>
    <w:rsid w:val="004D4F6D"/>
    <w:rsid w:val="004D50C0"/>
    <w:rsid w:val="004D5A44"/>
    <w:rsid w:val="004D7E85"/>
    <w:rsid w:val="004E0148"/>
    <w:rsid w:val="004E2F49"/>
    <w:rsid w:val="004E546C"/>
    <w:rsid w:val="004E5925"/>
    <w:rsid w:val="004E611D"/>
    <w:rsid w:val="004E634B"/>
    <w:rsid w:val="004F10C1"/>
    <w:rsid w:val="004F1D83"/>
    <w:rsid w:val="004F292F"/>
    <w:rsid w:val="004F314F"/>
    <w:rsid w:val="0050072B"/>
    <w:rsid w:val="00503ACB"/>
    <w:rsid w:val="00504679"/>
    <w:rsid w:val="00504C42"/>
    <w:rsid w:val="00506079"/>
    <w:rsid w:val="00506806"/>
    <w:rsid w:val="00510908"/>
    <w:rsid w:val="00513607"/>
    <w:rsid w:val="00513842"/>
    <w:rsid w:val="00515B94"/>
    <w:rsid w:val="0051632C"/>
    <w:rsid w:val="005168A7"/>
    <w:rsid w:val="005260CB"/>
    <w:rsid w:val="00530D06"/>
    <w:rsid w:val="005318C8"/>
    <w:rsid w:val="00532FD0"/>
    <w:rsid w:val="0053323E"/>
    <w:rsid w:val="0053424B"/>
    <w:rsid w:val="0053428F"/>
    <w:rsid w:val="0053617B"/>
    <w:rsid w:val="005365D9"/>
    <w:rsid w:val="00536907"/>
    <w:rsid w:val="00536F89"/>
    <w:rsid w:val="00540F3A"/>
    <w:rsid w:val="00541474"/>
    <w:rsid w:val="005425DC"/>
    <w:rsid w:val="005439FC"/>
    <w:rsid w:val="00546A87"/>
    <w:rsid w:val="00547ED8"/>
    <w:rsid w:val="00551F72"/>
    <w:rsid w:val="0055453B"/>
    <w:rsid w:val="00555FBF"/>
    <w:rsid w:val="00557329"/>
    <w:rsid w:val="00563A91"/>
    <w:rsid w:val="0056537C"/>
    <w:rsid w:val="00567F43"/>
    <w:rsid w:val="00570BAA"/>
    <w:rsid w:val="0057335C"/>
    <w:rsid w:val="00573B19"/>
    <w:rsid w:val="00573FA4"/>
    <w:rsid w:val="00574BB4"/>
    <w:rsid w:val="00575654"/>
    <w:rsid w:val="00581786"/>
    <w:rsid w:val="00587EAC"/>
    <w:rsid w:val="00591488"/>
    <w:rsid w:val="005941C6"/>
    <w:rsid w:val="00594B1A"/>
    <w:rsid w:val="005A2A4A"/>
    <w:rsid w:val="005A2CFB"/>
    <w:rsid w:val="005A528A"/>
    <w:rsid w:val="005A5693"/>
    <w:rsid w:val="005A6EDB"/>
    <w:rsid w:val="005B39FE"/>
    <w:rsid w:val="005B418D"/>
    <w:rsid w:val="005B5E7F"/>
    <w:rsid w:val="005B7534"/>
    <w:rsid w:val="005C4B27"/>
    <w:rsid w:val="005C6996"/>
    <w:rsid w:val="005D0BE0"/>
    <w:rsid w:val="005D2ADA"/>
    <w:rsid w:val="005D2F3A"/>
    <w:rsid w:val="005D5483"/>
    <w:rsid w:val="005D7E6C"/>
    <w:rsid w:val="005E21C2"/>
    <w:rsid w:val="005E2599"/>
    <w:rsid w:val="005E375E"/>
    <w:rsid w:val="005E3C28"/>
    <w:rsid w:val="005F0530"/>
    <w:rsid w:val="005F0666"/>
    <w:rsid w:val="005F0E69"/>
    <w:rsid w:val="005F2DB0"/>
    <w:rsid w:val="005F3765"/>
    <w:rsid w:val="005F6472"/>
    <w:rsid w:val="005F78FA"/>
    <w:rsid w:val="005F791B"/>
    <w:rsid w:val="006009BE"/>
    <w:rsid w:val="00603F46"/>
    <w:rsid w:val="00606969"/>
    <w:rsid w:val="00606994"/>
    <w:rsid w:val="00610078"/>
    <w:rsid w:val="00614101"/>
    <w:rsid w:val="00617F1A"/>
    <w:rsid w:val="0062056A"/>
    <w:rsid w:val="006209D4"/>
    <w:rsid w:val="00622F23"/>
    <w:rsid w:val="00624B17"/>
    <w:rsid w:val="0062767F"/>
    <w:rsid w:val="00627C91"/>
    <w:rsid w:val="00631361"/>
    <w:rsid w:val="006340FF"/>
    <w:rsid w:val="0063679B"/>
    <w:rsid w:val="00636E09"/>
    <w:rsid w:val="006410A7"/>
    <w:rsid w:val="00641A49"/>
    <w:rsid w:val="00643B4A"/>
    <w:rsid w:val="006448E3"/>
    <w:rsid w:val="006462BE"/>
    <w:rsid w:val="0065126D"/>
    <w:rsid w:val="00655405"/>
    <w:rsid w:val="006558C0"/>
    <w:rsid w:val="00655FBA"/>
    <w:rsid w:val="00662BA6"/>
    <w:rsid w:val="0066531D"/>
    <w:rsid w:val="00670F3E"/>
    <w:rsid w:val="00672770"/>
    <w:rsid w:val="00674D33"/>
    <w:rsid w:val="0067559C"/>
    <w:rsid w:val="00682C87"/>
    <w:rsid w:val="00684ACC"/>
    <w:rsid w:val="006877B7"/>
    <w:rsid w:val="0069014A"/>
    <w:rsid w:val="00690ADC"/>
    <w:rsid w:val="00695576"/>
    <w:rsid w:val="006A4981"/>
    <w:rsid w:val="006A7312"/>
    <w:rsid w:val="006B0399"/>
    <w:rsid w:val="006B17E2"/>
    <w:rsid w:val="006B1CB3"/>
    <w:rsid w:val="006C018D"/>
    <w:rsid w:val="006C1157"/>
    <w:rsid w:val="006C1A92"/>
    <w:rsid w:val="006C287C"/>
    <w:rsid w:val="006C3E0F"/>
    <w:rsid w:val="006C57E6"/>
    <w:rsid w:val="006C61E4"/>
    <w:rsid w:val="006C7231"/>
    <w:rsid w:val="006D0E5C"/>
    <w:rsid w:val="006D2B84"/>
    <w:rsid w:val="006D2BE2"/>
    <w:rsid w:val="006D2DFA"/>
    <w:rsid w:val="006D408F"/>
    <w:rsid w:val="006D6629"/>
    <w:rsid w:val="006D72A0"/>
    <w:rsid w:val="006E2CE7"/>
    <w:rsid w:val="006E3B4D"/>
    <w:rsid w:val="006E4855"/>
    <w:rsid w:val="006E48F1"/>
    <w:rsid w:val="006E550C"/>
    <w:rsid w:val="006F1743"/>
    <w:rsid w:val="006F1D17"/>
    <w:rsid w:val="006F5106"/>
    <w:rsid w:val="006F7771"/>
    <w:rsid w:val="007001D3"/>
    <w:rsid w:val="00701F56"/>
    <w:rsid w:val="007035D2"/>
    <w:rsid w:val="00705118"/>
    <w:rsid w:val="00706B0A"/>
    <w:rsid w:val="00707A76"/>
    <w:rsid w:val="007104E3"/>
    <w:rsid w:val="00712465"/>
    <w:rsid w:val="007137AD"/>
    <w:rsid w:val="007168FD"/>
    <w:rsid w:val="00720D5F"/>
    <w:rsid w:val="0072108A"/>
    <w:rsid w:val="00725EFD"/>
    <w:rsid w:val="00726C4D"/>
    <w:rsid w:val="00727EAA"/>
    <w:rsid w:val="00736533"/>
    <w:rsid w:val="0074130D"/>
    <w:rsid w:val="00742116"/>
    <w:rsid w:val="007438BF"/>
    <w:rsid w:val="0074463A"/>
    <w:rsid w:val="0074490D"/>
    <w:rsid w:val="00745C0A"/>
    <w:rsid w:val="00752E74"/>
    <w:rsid w:val="00754BBD"/>
    <w:rsid w:val="007553F6"/>
    <w:rsid w:val="00755BFC"/>
    <w:rsid w:val="00755F79"/>
    <w:rsid w:val="0075726B"/>
    <w:rsid w:val="0075740E"/>
    <w:rsid w:val="00761F18"/>
    <w:rsid w:val="00762986"/>
    <w:rsid w:val="00762B56"/>
    <w:rsid w:val="0076646B"/>
    <w:rsid w:val="00766C76"/>
    <w:rsid w:val="00770164"/>
    <w:rsid w:val="00770834"/>
    <w:rsid w:val="007719A3"/>
    <w:rsid w:val="00771ED0"/>
    <w:rsid w:val="00772CD3"/>
    <w:rsid w:val="00775AA2"/>
    <w:rsid w:val="00777F75"/>
    <w:rsid w:val="00782DEF"/>
    <w:rsid w:val="00790507"/>
    <w:rsid w:val="00790FD7"/>
    <w:rsid w:val="00793823"/>
    <w:rsid w:val="00794141"/>
    <w:rsid w:val="00795616"/>
    <w:rsid w:val="00795CE5"/>
    <w:rsid w:val="007A46B7"/>
    <w:rsid w:val="007A5695"/>
    <w:rsid w:val="007A5A39"/>
    <w:rsid w:val="007A661D"/>
    <w:rsid w:val="007A72E2"/>
    <w:rsid w:val="007A7719"/>
    <w:rsid w:val="007A7EE1"/>
    <w:rsid w:val="007B26F2"/>
    <w:rsid w:val="007B277E"/>
    <w:rsid w:val="007B31D2"/>
    <w:rsid w:val="007B371B"/>
    <w:rsid w:val="007C1086"/>
    <w:rsid w:val="007C2001"/>
    <w:rsid w:val="007C4DC6"/>
    <w:rsid w:val="007C5134"/>
    <w:rsid w:val="007D05D5"/>
    <w:rsid w:val="007D210F"/>
    <w:rsid w:val="007D5133"/>
    <w:rsid w:val="007E4ECC"/>
    <w:rsid w:val="007E7D5F"/>
    <w:rsid w:val="007F0D87"/>
    <w:rsid w:val="007F108C"/>
    <w:rsid w:val="007F1B33"/>
    <w:rsid w:val="007F3333"/>
    <w:rsid w:val="007F35BE"/>
    <w:rsid w:val="007F3FE8"/>
    <w:rsid w:val="007F41D2"/>
    <w:rsid w:val="007F6554"/>
    <w:rsid w:val="00800510"/>
    <w:rsid w:val="0080179B"/>
    <w:rsid w:val="0080378C"/>
    <w:rsid w:val="00804A34"/>
    <w:rsid w:val="00805408"/>
    <w:rsid w:val="00806ACD"/>
    <w:rsid w:val="008078A6"/>
    <w:rsid w:val="00810E05"/>
    <w:rsid w:val="00811A63"/>
    <w:rsid w:val="00814AB7"/>
    <w:rsid w:val="0081598B"/>
    <w:rsid w:val="00817832"/>
    <w:rsid w:val="00821877"/>
    <w:rsid w:val="0082654E"/>
    <w:rsid w:val="00827571"/>
    <w:rsid w:val="008339B4"/>
    <w:rsid w:val="008340B5"/>
    <w:rsid w:val="00837C16"/>
    <w:rsid w:val="00847C46"/>
    <w:rsid w:val="0085268B"/>
    <w:rsid w:val="00854E66"/>
    <w:rsid w:val="00855503"/>
    <w:rsid w:val="00855FF5"/>
    <w:rsid w:val="00857124"/>
    <w:rsid w:val="00860797"/>
    <w:rsid w:val="00860E88"/>
    <w:rsid w:val="00861531"/>
    <w:rsid w:val="00861C80"/>
    <w:rsid w:val="008631EF"/>
    <w:rsid w:val="0086351F"/>
    <w:rsid w:val="00865BAF"/>
    <w:rsid w:val="00867709"/>
    <w:rsid w:val="00867FD6"/>
    <w:rsid w:val="00870016"/>
    <w:rsid w:val="00873E57"/>
    <w:rsid w:val="00876B2B"/>
    <w:rsid w:val="0087775A"/>
    <w:rsid w:val="00880E6F"/>
    <w:rsid w:val="00886775"/>
    <w:rsid w:val="0089033D"/>
    <w:rsid w:val="0089041B"/>
    <w:rsid w:val="0089078C"/>
    <w:rsid w:val="00890A28"/>
    <w:rsid w:val="00890FCD"/>
    <w:rsid w:val="00891CA5"/>
    <w:rsid w:val="008936AA"/>
    <w:rsid w:val="008A1C3C"/>
    <w:rsid w:val="008A1D62"/>
    <w:rsid w:val="008A4AFB"/>
    <w:rsid w:val="008A62DE"/>
    <w:rsid w:val="008A64F6"/>
    <w:rsid w:val="008B082E"/>
    <w:rsid w:val="008B1B2F"/>
    <w:rsid w:val="008B27B6"/>
    <w:rsid w:val="008B36FB"/>
    <w:rsid w:val="008B47F5"/>
    <w:rsid w:val="008B60B8"/>
    <w:rsid w:val="008B6CB8"/>
    <w:rsid w:val="008C1757"/>
    <w:rsid w:val="008C41DD"/>
    <w:rsid w:val="008C48BD"/>
    <w:rsid w:val="008D0D98"/>
    <w:rsid w:val="008D4A14"/>
    <w:rsid w:val="008E0E2F"/>
    <w:rsid w:val="008E0E79"/>
    <w:rsid w:val="008E2430"/>
    <w:rsid w:val="008E6CB1"/>
    <w:rsid w:val="008E7A4C"/>
    <w:rsid w:val="008F1C53"/>
    <w:rsid w:val="008F42EE"/>
    <w:rsid w:val="009000C7"/>
    <w:rsid w:val="009007A4"/>
    <w:rsid w:val="00900AFF"/>
    <w:rsid w:val="00900DD0"/>
    <w:rsid w:val="00901563"/>
    <w:rsid w:val="00910798"/>
    <w:rsid w:val="00910AE1"/>
    <w:rsid w:val="00911C53"/>
    <w:rsid w:val="009152B2"/>
    <w:rsid w:val="00915BB8"/>
    <w:rsid w:val="00917732"/>
    <w:rsid w:val="0092218C"/>
    <w:rsid w:val="00926B07"/>
    <w:rsid w:val="00931B25"/>
    <w:rsid w:val="00932344"/>
    <w:rsid w:val="0093468D"/>
    <w:rsid w:val="00934764"/>
    <w:rsid w:val="00934B0B"/>
    <w:rsid w:val="0094328D"/>
    <w:rsid w:val="0094332A"/>
    <w:rsid w:val="00945F2D"/>
    <w:rsid w:val="009509B9"/>
    <w:rsid w:val="00951575"/>
    <w:rsid w:val="0095325F"/>
    <w:rsid w:val="009550CC"/>
    <w:rsid w:val="00960793"/>
    <w:rsid w:val="00962590"/>
    <w:rsid w:val="00965B98"/>
    <w:rsid w:val="0096673E"/>
    <w:rsid w:val="00973A48"/>
    <w:rsid w:val="009764C1"/>
    <w:rsid w:val="00976676"/>
    <w:rsid w:val="00981EC2"/>
    <w:rsid w:val="00985013"/>
    <w:rsid w:val="00985168"/>
    <w:rsid w:val="009866E6"/>
    <w:rsid w:val="009905DC"/>
    <w:rsid w:val="00991779"/>
    <w:rsid w:val="00994BCF"/>
    <w:rsid w:val="009A1D20"/>
    <w:rsid w:val="009A3757"/>
    <w:rsid w:val="009A62AB"/>
    <w:rsid w:val="009A62BE"/>
    <w:rsid w:val="009B06D9"/>
    <w:rsid w:val="009B1F9A"/>
    <w:rsid w:val="009B3A58"/>
    <w:rsid w:val="009B6BDF"/>
    <w:rsid w:val="009B7CCE"/>
    <w:rsid w:val="009C1275"/>
    <w:rsid w:val="009C1647"/>
    <w:rsid w:val="009C1FAA"/>
    <w:rsid w:val="009C3EAC"/>
    <w:rsid w:val="009C73CA"/>
    <w:rsid w:val="009D1719"/>
    <w:rsid w:val="009D2682"/>
    <w:rsid w:val="009D3824"/>
    <w:rsid w:val="009E394C"/>
    <w:rsid w:val="009E55B9"/>
    <w:rsid w:val="009E5934"/>
    <w:rsid w:val="009E59CB"/>
    <w:rsid w:val="009E5D2F"/>
    <w:rsid w:val="009E7A05"/>
    <w:rsid w:val="009F4BA5"/>
    <w:rsid w:val="009F5F9D"/>
    <w:rsid w:val="009F7886"/>
    <w:rsid w:val="009F7C42"/>
    <w:rsid w:val="00A00811"/>
    <w:rsid w:val="00A00976"/>
    <w:rsid w:val="00A00A7D"/>
    <w:rsid w:val="00A00E3F"/>
    <w:rsid w:val="00A030BD"/>
    <w:rsid w:val="00A0388E"/>
    <w:rsid w:val="00A03F8F"/>
    <w:rsid w:val="00A04A72"/>
    <w:rsid w:val="00A04CAE"/>
    <w:rsid w:val="00A057FE"/>
    <w:rsid w:val="00A0722D"/>
    <w:rsid w:val="00A123D6"/>
    <w:rsid w:val="00A137DA"/>
    <w:rsid w:val="00A13E60"/>
    <w:rsid w:val="00A16546"/>
    <w:rsid w:val="00A16D14"/>
    <w:rsid w:val="00A17391"/>
    <w:rsid w:val="00A178B3"/>
    <w:rsid w:val="00A17C3F"/>
    <w:rsid w:val="00A20BC8"/>
    <w:rsid w:val="00A20E2D"/>
    <w:rsid w:val="00A21145"/>
    <w:rsid w:val="00A2117C"/>
    <w:rsid w:val="00A23402"/>
    <w:rsid w:val="00A26352"/>
    <w:rsid w:val="00A34B71"/>
    <w:rsid w:val="00A37B3A"/>
    <w:rsid w:val="00A43733"/>
    <w:rsid w:val="00A44C39"/>
    <w:rsid w:val="00A461EA"/>
    <w:rsid w:val="00A507AB"/>
    <w:rsid w:val="00A50CC1"/>
    <w:rsid w:val="00A53634"/>
    <w:rsid w:val="00A54746"/>
    <w:rsid w:val="00A55558"/>
    <w:rsid w:val="00A562AD"/>
    <w:rsid w:val="00A57384"/>
    <w:rsid w:val="00A66BD9"/>
    <w:rsid w:val="00A7088F"/>
    <w:rsid w:val="00A73D97"/>
    <w:rsid w:val="00A776FF"/>
    <w:rsid w:val="00A83129"/>
    <w:rsid w:val="00A84052"/>
    <w:rsid w:val="00A844FC"/>
    <w:rsid w:val="00A85353"/>
    <w:rsid w:val="00A85BD8"/>
    <w:rsid w:val="00A86596"/>
    <w:rsid w:val="00A86623"/>
    <w:rsid w:val="00A873EE"/>
    <w:rsid w:val="00A93126"/>
    <w:rsid w:val="00A932E6"/>
    <w:rsid w:val="00A95853"/>
    <w:rsid w:val="00A95E90"/>
    <w:rsid w:val="00AA0A37"/>
    <w:rsid w:val="00AA2C5D"/>
    <w:rsid w:val="00AA347A"/>
    <w:rsid w:val="00AA6F33"/>
    <w:rsid w:val="00AB79E8"/>
    <w:rsid w:val="00AC0F78"/>
    <w:rsid w:val="00AC2A5C"/>
    <w:rsid w:val="00AC3671"/>
    <w:rsid w:val="00AC3E8A"/>
    <w:rsid w:val="00AC410F"/>
    <w:rsid w:val="00AC535B"/>
    <w:rsid w:val="00AC5EDF"/>
    <w:rsid w:val="00AC6737"/>
    <w:rsid w:val="00AC71BB"/>
    <w:rsid w:val="00AC7A38"/>
    <w:rsid w:val="00AD006B"/>
    <w:rsid w:val="00AD055E"/>
    <w:rsid w:val="00AD2712"/>
    <w:rsid w:val="00AD5B79"/>
    <w:rsid w:val="00AD704B"/>
    <w:rsid w:val="00AE07DD"/>
    <w:rsid w:val="00AE20B9"/>
    <w:rsid w:val="00AE2560"/>
    <w:rsid w:val="00AE36A3"/>
    <w:rsid w:val="00AE4E7F"/>
    <w:rsid w:val="00AF2D0D"/>
    <w:rsid w:val="00AF4373"/>
    <w:rsid w:val="00AF552A"/>
    <w:rsid w:val="00AF627C"/>
    <w:rsid w:val="00AF6493"/>
    <w:rsid w:val="00AF7328"/>
    <w:rsid w:val="00B01B5C"/>
    <w:rsid w:val="00B0415C"/>
    <w:rsid w:val="00B0452E"/>
    <w:rsid w:val="00B04A9F"/>
    <w:rsid w:val="00B062D9"/>
    <w:rsid w:val="00B072C2"/>
    <w:rsid w:val="00B147B4"/>
    <w:rsid w:val="00B15EC9"/>
    <w:rsid w:val="00B169F3"/>
    <w:rsid w:val="00B17452"/>
    <w:rsid w:val="00B20171"/>
    <w:rsid w:val="00B2115E"/>
    <w:rsid w:val="00B2222E"/>
    <w:rsid w:val="00B25618"/>
    <w:rsid w:val="00B256F6"/>
    <w:rsid w:val="00B25EED"/>
    <w:rsid w:val="00B25FE2"/>
    <w:rsid w:val="00B261EE"/>
    <w:rsid w:val="00B26AE2"/>
    <w:rsid w:val="00B30794"/>
    <w:rsid w:val="00B31295"/>
    <w:rsid w:val="00B3131D"/>
    <w:rsid w:val="00B37397"/>
    <w:rsid w:val="00B4144D"/>
    <w:rsid w:val="00B44234"/>
    <w:rsid w:val="00B457DC"/>
    <w:rsid w:val="00B50602"/>
    <w:rsid w:val="00B52E93"/>
    <w:rsid w:val="00B52FDB"/>
    <w:rsid w:val="00B576CA"/>
    <w:rsid w:val="00B57FBF"/>
    <w:rsid w:val="00B602D4"/>
    <w:rsid w:val="00B61F7D"/>
    <w:rsid w:val="00B6352D"/>
    <w:rsid w:val="00B642D2"/>
    <w:rsid w:val="00B6737A"/>
    <w:rsid w:val="00B71D64"/>
    <w:rsid w:val="00B74B3C"/>
    <w:rsid w:val="00B762B7"/>
    <w:rsid w:val="00B77F64"/>
    <w:rsid w:val="00B80022"/>
    <w:rsid w:val="00B8024D"/>
    <w:rsid w:val="00B80712"/>
    <w:rsid w:val="00B80A5F"/>
    <w:rsid w:val="00B82837"/>
    <w:rsid w:val="00B84B05"/>
    <w:rsid w:val="00B84E11"/>
    <w:rsid w:val="00B86902"/>
    <w:rsid w:val="00B95095"/>
    <w:rsid w:val="00B95A66"/>
    <w:rsid w:val="00BA245B"/>
    <w:rsid w:val="00BA3093"/>
    <w:rsid w:val="00BA6346"/>
    <w:rsid w:val="00BB11A4"/>
    <w:rsid w:val="00BB423E"/>
    <w:rsid w:val="00BB5370"/>
    <w:rsid w:val="00BB66E5"/>
    <w:rsid w:val="00BC15CB"/>
    <w:rsid w:val="00BC67E7"/>
    <w:rsid w:val="00BD0598"/>
    <w:rsid w:val="00BD0CF9"/>
    <w:rsid w:val="00BD1A1B"/>
    <w:rsid w:val="00BD1A33"/>
    <w:rsid w:val="00BD1BAC"/>
    <w:rsid w:val="00BD337B"/>
    <w:rsid w:val="00BD5F30"/>
    <w:rsid w:val="00BD7B6A"/>
    <w:rsid w:val="00BD7FC3"/>
    <w:rsid w:val="00BE365C"/>
    <w:rsid w:val="00BE36E9"/>
    <w:rsid w:val="00BE5C4F"/>
    <w:rsid w:val="00BE7AA9"/>
    <w:rsid w:val="00BF2323"/>
    <w:rsid w:val="00BF2C8F"/>
    <w:rsid w:val="00BF6C77"/>
    <w:rsid w:val="00C00F70"/>
    <w:rsid w:val="00C02FB1"/>
    <w:rsid w:val="00C07B92"/>
    <w:rsid w:val="00C10631"/>
    <w:rsid w:val="00C112E5"/>
    <w:rsid w:val="00C1208D"/>
    <w:rsid w:val="00C12892"/>
    <w:rsid w:val="00C1618C"/>
    <w:rsid w:val="00C20C9F"/>
    <w:rsid w:val="00C2607B"/>
    <w:rsid w:val="00C30D69"/>
    <w:rsid w:val="00C31150"/>
    <w:rsid w:val="00C318D1"/>
    <w:rsid w:val="00C31DA5"/>
    <w:rsid w:val="00C32870"/>
    <w:rsid w:val="00C353B4"/>
    <w:rsid w:val="00C35627"/>
    <w:rsid w:val="00C372F2"/>
    <w:rsid w:val="00C416A6"/>
    <w:rsid w:val="00C448C7"/>
    <w:rsid w:val="00C45414"/>
    <w:rsid w:val="00C47DA4"/>
    <w:rsid w:val="00C50E74"/>
    <w:rsid w:val="00C5192E"/>
    <w:rsid w:val="00C51A54"/>
    <w:rsid w:val="00C55BD4"/>
    <w:rsid w:val="00C5751A"/>
    <w:rsid w:val="00C71A18"/>
    <w:rsid w:val="00C722B9"/>
    <w:rsid w:val="00C728DE"/>
    <w:rsid w:val="00C75906"/>
    <w:rsid w:val="00C7753A"/>
    <w:rsid w:val="00C80F2A"/>
    <w:rsid w:val="00C8195E"/>
    <w:rsid w:val="00C85840"/>
    <w:rsid w:val="00C85E8F"/>
    <w:rsid w:val="00C91D6D"/>
    <w:rsid w:val="00C92496"/>
    <w:rsid w:val="00C927EC"/>
    <w:rsid w:val="00C93919"/>
    <w:rsid w:val="00CA00D7"/>
    <w:rsid w:val="00CA1678"/>
    <w:rsid w:val="00CA5EFD"/>
    <w:rsid w:val="00CA64E0"/>
    <w:rsid w:val="00CB297B"/>
    <w:rsid w:val="00CB2B39"/>
    <w:rsid w:val="00CB68BF"/>
    <w:rsid w:val="00CB70F6"/>
    <w:rsid w:val="00CC13A0"/>
    <w:rsid w:val="00CC50CA"/>
    <w:rsid w:val="00CC7038"/>
    <w:rsid w:val="00CC717F"/>
    <w:rsid w:val="00CD04D7"/>
    <w:rsid w:val="00CD2C1A"/>
    <w:rsid w:val="00CD5FB6"/>
    <w:rsid w:val="00CD6B7D"/>
    <w:rsid w:val="00CE4428"/>
    <w:rsid w:val="00CE670B"/>
    <w:rsid w:val="00CE7F75"/>
    <w:rsid w:val="00CF0954"/>
    <w:rsid w:val="00CF10A6"/>
    <w:rsid w:val="00CF210D"/>
    <w:rsid w:val="00CF50F1"/>
    <w:rsid w:val="00CF58D3"/>
    <w:rsid w:val="00CF6391"/>
    <w:rsid w:val="00CF673A"/>
    <w:rsid w:val="00D00086"/>
    <w:rsid w:val="00D0063B"/>
    <w:rsid w:val="00D02009"/>
    <w:rsid w:val="00D03531"/>
    <w:rsid w:val="00D0461C"/>
    <w:rsid w:val="00D05AFD"/>
    <w:rsid w:val="00D108A1"/>
    <w:rsid w:val="00D11799"/>
    <w:rsid w:val="00D121A8"/>
    <w:rsid w:val="00D134F5"/>
    <w:rsid w:val="00D17EE5"/>
    <w:rsid w:val="00D21FEC"/>
    <w:rsid w:val="00D22212"/>
    <w:rsid w:val="00D2710A"/>
    <w:rsid w:val="00D328BD"/>
    <w:rsid w:val="00D338CD"/>
    <w:rsid w:val="00D3658B"/>
    <w:rsid w:val="00D36C68"/>
    <w:rsid w:val="00D3768F"/>
    <w:rsid w:val="00D40642"/>
    <w:rsid w:val="00D40B3B"/>
    <w:rsid w:val="00D40C89"/>
    <w:rsid w:val="00D43152"/>
    <w:rsid w:val="00D43E11"/>
    <w:rsid w:val="00D46284"/>
    <w:rsid w:val="00D538CA"/>
    <w:rsid w:val="00D56B70"/>
    <w:rsid w:val="00D64467"/>
    <w:rsid w:val="00D66CCB"/>
    <w:rsid w:val="00D71E30"/>
    <w:rsid w:val="00D73F3D"/>
    <w:rsid w:val="00D74AB8"/>
    <w:rsid w:val="00D75C6B"/>
    <w:rsid w:val="00D77796"/>
    <w:rsid w:val="00D834E8"/>
    <w:rsid w:val="00D838E0"/>
    <w:rsid w:val="00D85E98"/>
    <w:rsid w:val="00D86880"/>
    <w:rsid w:val="00D9101A"/>
    <w:rsid w:val="00D916E3"/>
    <w:rsid w:val="00D91D84"/>
    <w:rsid w:val="00D956FA"/>
    <w:rsid w:val="00D968FE"/>
    <w:rsid w:val="00DA05F1"/>
    <w:rsid w:val="00DA2631"/>
    <w:rsid w:val="00DA35D0"/>
    <w:rsid w:val="00DA5FCF"/>
    <w:rsid w:val="00DA62B7"/>
    <w:rsid w:val="00DA7A46"/>
    <w:rsid w:val="00DB2136"/>
    <w:rsid w:val="00DC0082"/>
    <w:rsid w:val="00DC07FB"/>
    <w:rsid w:val="00DC1AFD"/>
    <w:rsid w:val="00DC2620"/>
    <w:rsid w:val="00DC37C6"/>
    <w:rsid w:val="00DC460F"/>
    <w:rsid w:val="00DC54FC"/>
    <w:rsid w:val="00DD05DE"/>
    <w:rsid w:val="00DD1FAE"/>
    <w:rsid w:val="00DD2B32"/>
    <w:rsid w:val="00DD2C41"/>
    <w:rsid w:val="00DD45B6"/>
    <w:rsid w:val="00DD55AF"/>
    <w:rsid w:val="00DD5DC2"/>
    <w:rsid w:val="00DD72F8"/>
    <w:rsid w:val="00DD77A0"/>
    <w:rsid w:val="00DE021A"/>
    <w:rsid w:val="00DE21D6"/>
    <w:rsid w:val="00DE3A86"/>
    <w:rsid w:val="00DE530A"/>
    <w:rsid w:val="00DE5E8E"/>
    <w:rsid w:val="00DE7140"/>
    <w:rsid w:val="00DF0004"/>
    <w:rsid w:val="00DF1087"/>
    <w:rsid w:val="00DF4692"/>
    <w:rsid w:val="00DF4735"/>
    <w:rsid w:val="00DF5A0A"/>
    <w:rsid w:val="00DF60C6"/>
    <w:rsid w:val="00DF62EB"/>
    <w:rsid w:val="00E00B94"/>
    <w:rsid w:val="00E0198A"/>
    <w:rsid w:val="00E01D94"/>
    <w:rsid w:val="00E06913"/>
    <w:rsid w:val="00E11AC1"/>
    <w:rsid w:val="00E161CA"/>
    <w:rsid w:val="00E16D94"/>
    <w:rsid w:val="00E1784D"/>
    <w:rsid w:val="00E179D7"/>
    <w:rsid w:val="00E17DD2"/>
    <w:rsid w:val="00E206A4"/>
    <w:rsid w:val="00E20CB8"/>
    <w:rsid w:val="00E236A6"/>
    <w:rsid w:val="00E263D2"/>
    <w:rsid w:val="00E26678"/>
    <w:rsid w:val="00E26D11"/>
    <w:rsid w:val="00E2700E"/>
    <w:rsid w:val="00E27495"/>
    <w:rsid w:val="00E364A2"/>
    <w:rsid w:val="00E36512"/>
    <w:rsid w:val="00E40F69"/>
    <w:rsid w:val="00E446BA"/>
    <w:rsid w:val="00E447EB"/>
    <w:rsid w:val="00E46AC5"/>
    <w:rsid w:val="00E47904"/>
    <w:rsid w:val="00E51BDC"/>
    <w:rsid w:val="00E52452"/>
    <w:rsid w:val="00E53F3C"/>
    <w:rsid w:val="00E54236"/>
    <w:rsid w:val="00E607A8"/>
    <w:rsid w:val="00E612CF"/>
    <w:rsid w:val="00E616CD"/>
    <w:rsid w:val="00E6344D"/>
    <w:rsid w:val="00E64C4F"/>
    <w:rsid w:val="00E6571B"/>
    <w:rsid w:val="00E65D72"/>
    <w:rsid w:val="00E7043F"/>
    <w:rsid w:val="00E71ADF"/>
    <w:rsid w:val="00E72516"/>
    <w:rsid w:val="00E72A68"/>
    <w:rsid w:val="00E733B7"/>
    <w:rsid w:val="00E75B88"/>
    <w:rsid w:val="00E76535"/>
    <w:rsid w:val="00E76BCA"/>
    <w:rsid w:val="00E80089"/>
    <w:rsid w:val="00E837B7"/>
    <w:rsid w:val="00E85EA8"/>
    <w:rsid w:val="00E915AF"/>
    <w:rsid w:val="00E9160D"/>
    <w:rsid w:val="00E91B11"/>
    <w:rsid w:val="00E92943"/>
    <w:rsid w:val="00E93A63"/>
    <w:rsid w:val="00E95743"/>
    <w:rsid w:val="00EA2C1F"/>
    <w:rsid w:val="00EB027D"/>
    <w:rsid w:val="00EB0876"/>
    <w:rsid w:val="00EB24EA"/>
    <w:rsid w:val="00EB5E43"/>
    <w:rsid w:val="00EB6110"/>
    <w:rsid w:val="00EB636F"/>
    <w:rsid w:val="00EC2243"/>
    <w:rsid w:val="00EC5393"/>
    <w:rsid w:val="00EC6450"/>
    <w:rsid w:val="00EC734F"/>
    <w:rsid w:val="00ED037B"/>
    <w:rsid w:val="00ED1411"/>
    <w:rsid w:val="00ED2893"/>
    <w:rsid w:val="00ED2F84"/>
    <w:rsid w:val="00ED6FBD"/>
    <w:rsid w:val="00EE0538"/>
    <w:rsid w:val="00EE16E4"/>
    <w:rsid w:val="00EE1FA1"/>
    <w:rsid w:val="00EE2FA4"/>
    <w:rsid w:val="00EE3293"/>
    <w:rsid w:val="00EE34EC"/>
    <w:rsid w:val="00EE7225"/>
    <w:rsid w:val="00EF3ECC"/>
    <w:rsid w:val="00EF506C"/>
    <w:rsid w:val="00F00886"/>
    <w:rsid w:val="00F01136"/>
    <w:rsid w:val="00F04684"/>
    <w:rsid w:val="00F0632C"/>
    <w:rsid w:val="00F07154"/>
    <w:rsid w:val="00F10B6B"/>
    <w:rsid w:val="00F12808"/>
    <w:rsid w:val="00F12A33"/>
    <w:rsid w:val="00F142E5"/>
    <w:rsid w:val="00F1536E"/>
    <w:rsid w:val="00F15928"/>
    <w:rsid w:val="00F16A64"/>
    <w:rsid w:val="00F17ED3"/>
    <w:rsid w:val="00F2358A"/>
    <w:rsid w:val="00F26DEF"/>
    <w:rsid w:val="00F270EB"/>
    <w:rsid w:val="00F34739"/>
    <w:rsid w:val="00F37028"/>
    <w:rsid w:val="00F41089"/>
    <w:rsid w:val="00F4482B"/>
    <w:rsid w:val="00F50BAA"/>
    <w:rsid w:val="00F5386A"/>
    <w:rsid w:val="00F55943"/>
    <w:rsid w:val="00F5718D"/>
    <w:rsid w:val="00F6390D"/>
    <w:rsid w:val="00F643A0"/>
    <w:rsid w:val="00F6559D"/>
    <w:rsid w:val="00F71AB0"/>
    <w:rsid w:val="00F736A0"/>
    <w:rsid w:val="00F75B64"/>
    <w:rsid w:val="00F80849"/>
    <w:rsid w:val="00F81023"/>
    <w:rsid w:val="00F81126"/>
    <w:rsid w:val="00F825D2"/>
    <w:rsid w:val="00F8689D"/>
    <w:rsid w:val="00F87BD9"/>
    <w:rsid w:val="00F90148"/>
    <w:rsid w:val="00F94CFF"/>
    <w:rsid w:val="00F965E8"/>
    <w:rsid w:val="00F97864"/>
    <w:rsid w:val="00FA1692"/>
    <w:rsid w:val="00FA1F02"/>
    <w:rsid w:val="00FA3A99"/>
    <w:rsid w:val="00FA3D3E"/>
    <w:rsid w:val="00FB16A2"/>
    <w:rsid w:val="00FB2094"/>
    <w:rsid w:val="00FB3C31"/>
    <w:rsid w:val="00FB407F"/>
    <w:rsid w:val="00FB4F66"/>
    <w:rsid w:val="00FB7064"/>
    <w:rsid w:val="00FB74BE"/>
    <w:rsid w:val="00FC283F"/>
    <w:rsid w:val="00FC402A"/>
    <w:rsid w:val="00FC4492"/>
    <w:rsid w:val="00FC4948"/>
    <w:rsid w:val="00FC51EB"/>
    <w:rsid w:val="00FC5824"/>
    <w:rsid w:val="00FC7A29"/>
    <w:rsid w:val="00FD07D7"/>
    <w:rsid w:val="00FD13BA"/>
    <w:rsid w:val="00FD2027"/>
    <w:rsid w:val="00FD4CA0"/>
    <w:rsid w:val="00FD5D4B"/>
    <w:rsid w:val="00FD6546"/>
    <w:rsid w:val="00FD76A9"/>
    <w:rsid w:val="00FD7F84"/>
    <w:rsid w:val="00FE149E"/>
    <w:rsid w:val="00FE1E36"/>
    <w:rsid w:val="00FF1050"/>
    <w:rsid w:val="00FF12DC"/>
    <w:rsid w:val="00FF347B"/>
    <w:rsid w:val="00FF40CD"/>
    <w:rsid w:val="00FF66CA"/>
    <w:rsid w:val="08044483"/>
    <w:rsid w:val="198678A9"/>
    <w:rsid w:val="43D1181A"/>
    <w:rsid w:val="49B46DB8"/>
    <w:rsid w:val="71082EF1"/>
    <w:rsid w:val="7C404329"/>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pPr>
    <w:rPr>
      <w:rFonts w:ascii="Times New Roman" w:hAnsi="Times New Roman" w:eastAsia="宋体" w:cs="Times New Roman"/>
      <w:sz w:val="21"/>
      <w:lang w:val="en-US" w:eastAsia="zh-CN" w:bidi="ar-SA"/>
    </w:rPr>
  </w:style>
  <w:style w:type="paragraph" w:styleId="2">
    <w:name w:val="heading 1"/>
    <w:basedOn w:val="1"/>
    <w:next w:val="1"/>
    <w:qFormat/>
    <w:uiPriority w:val="0"/>
    <w:pPr>
      <w:spacing w:before="340" w:after="330" w:line="578" w:lineRule="auto"/>
      <w:outlineLvl w:val="0"/>
    </w:pPr>
    <w:rPr>
      <w:rFonts w:eastAsia="黑体"/>
      <w:b/>
      <w:bCs/>
      <w:kern w:val="44"/>
      <w:sz w:val="32"/>
      <w:szCs w:val="44"/>
    </w:rPr>
  </w:style>
  <w:style w:type="paragraph" w:styleId="3">
    <w:name w:val="heading 2"/>
    <w:basedOn w:val="1"/>
    <w:next w:val="1"/>
    <w:qFormat/>
    <w:uiPriority w:val="0"/>
    <w:pPr>
      <w:spacing w:before="260" w:after="260" w:line="415" w:lineRule="auto"/>
      <w:outlineLvl w:val="1"/>
    </w:pPr>
    <w:rPr>
      <w:rFonts w:ascii="Arial" w:hAnsi="Arial"/>
      <w:b/>
      <w:bCs/>
      <w:sz w:val="32"/>
      <w:szCs w:val="32"/>
    </w:rPr>
  </w:style>
  <w:style w:type="paragraph" w:styleId="4">
    <w:name w:val="heading 3"/>
    <w:basedOn w:val="1"/>
    <w:next w:val="1"/>
    <w:qFormat/>
    <w:uiPriority w:val="0"/>
    <w:pPr>
      <w:spacing w:before="260" w:after="260" w:line="415" w:lineRule="auto"/>
      <w:outlineLvl w:val="2"/>
    </w:pPr>
    <w:rPr>
      <w:rFonts w:eastAsia="楷体_GB2312"/>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88">
    <w:name w:val="Default Paragraph Font"/>
    <w:unhideWhenUsed/>
    <w:qFormat/>
    <w:uiPriority w:val="1"/>
  </w:style>
  <w:style w:type="table" w:default="1" w:styleId="93">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annotation subject"/>
    <w:basedOn w:val="13"/>
    <w:next w:val="13"/>
    <w:qFormat/>
    <w:uiPriority w:val="0"/>
    <w:rPr>
      <w:b/>
      <w:bCs/>
    </w:rPr>
  </w:style>
  <w:style w:type="paragraph" w:styleId="13">
    <w:name w:val="annotation text"/>
    <w:basedOn w:val="1"/>
    <w:qFormat/>
    <w:uiPriority w:val="0"/>
    <w:pPr>
      <w:jc w:val="left"/>
    </w:pPr>
  </w:style>
  <w:style w:type="paragraph" w:styleId="14">
    <w:name w:val="toc 7"/>
    <w:basedOn w:val="1"/>
    <w:next w:val="1"/>
    <w:qFormat/>
    <w:uiPriority w:val="0"/>
    <w:pPr>
      <w:ind w:left="1260"/>
      <w:jc w:val="left"/>
    </w:pPr>
    <w:rPr>
      <w:rFonts w:asciiTheme="minorHAnsi" w:hAnsiTheme="minorHAnsi" w:cstheme="minorHAnsi"/>
      <w:sz w:val="18"/>
      <w:szCs w:val="18"/>
    </w:rPr>
  </w:style>
  <w:style w:type="paragraph" w:styleId="15">
    <w:name w:val="Body Text First Indent"/>
    <w:basedOn w:val="16"/>
    <w:qFormat/>
    <w:uiPriority w:val="0"/>
    <w:pPr>
      <w:ind w:firstLine="420" w:firstLineChars="100"/>
    </w:pPr>
  </w:style>
  <w:style w:type="paragraph" w:styleId="16">
    <w:name w:val="Body Text"/>
    <w:basedOn w:val="1"/>
    <w:qFormat/>
    <w:uiPriority w:val="0"/>
    <w:pPr>
      <w:spacing w:after="120"/>
    </w:p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420" w:leftChars="200"/>
    </w:pPr>
  </w:style>
  <w:style w:type="paragraph" w:styleId="19">
    <w:name w:val="macro"/>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hAnsi="Courier New" w:eastAsia="宋体" w:cs="Courier New"/>
      <w:sz w:val="24"/>
      <w:szCs w:val="24"/>
      <w:lang w:val="en-US" w:eastAsia="zh-CN" w:bidi="ar-SA"/>
    </w:rPr>
  </w:style>
  <w:style w:type="paragraph" w:styleId="20">
    <w:name w:val="Note Heading"/>
    <w:basedOn w:val="1"/>
    <w:next w:val="1"/>
    <w:qFormat/>
    <w:uiPriority w:val="0"/>
    <w:pPr>
      <w:jc w:val="center"/>
    </w:pPr>
  </w:style>
  <w:style w:type="paragraph" w:styleId="21">
    <w:name w:val="List Bullet 4"/>
    <w:basedOn w:val="1"/>
    <w:qFormat/>
    <w:uiPriority w:val="0"/>
    <w:pPr>
      <w:numPr>
        <w:ilvl w:val="0"/>
        <w:numId w:val="2"/>
      </w:numPr>
    </w:pPr>
  </w:style>
  <w:style w:type="paragraph" w:styleId="22">
    <w:name w:val="index 8"/>
    <w:basedOn w:val="1"/>
    <w:next w:val="1"/>
    <w:qFormat/>
    <w:uiPriority w:val="0"/>
    <w:pPr>
      <w:ind w:left="1400" w:leftChars="1400"/>
    </w:pPr>
  </w:style>
  <w:style w:type="paragraph" w:styleId="23">
    <w:name w:val="E-mail Signature"/>
    <w:basedOn w:val="1"/>
    <w:qFormat/>
    <w:uiPriority w:val="0"/>
  </w:style>
  <w:style w:type="paragraph" w:styleId="24">
    <w:name w:val="List Number"/>
    <w:basedOn w:val="1"/>
    <w:qFormat/>
    <w:uiPriority w:val="0"/>
    <w:pPr>
      <w:numPr>
        <w:ilvl w:val="0"/>
        <w:numId w:val="3"/>
      </w:numPr>
    </w:pPr>
  </w:style>
  <w:style w:type="paragraph" w:styleId="25">
    <w:name w:val="Normal Indent"/>
    <w:basedOn w:val="1"/>
    <w:qFormat/>
    <w:uiPriority w:val="0"/>
    <w:pPr>
      <w:ind w:firstLine="420" w:firstLineChars="200"/>
    </w:pPr>
  </w:style>
  <w:style w:type="paragraph" w:styleId="26">
    <w:name w:val="caption"/>
    <w:basedOn w:val="1"/>
    <w:next w:val="1"/>
    <w:qFormat/>
    <w:uiPriority w:val="0"/>
    <w:rPr>
      <w:rFonts w:ascii="Arial" w:hAnsi="Arial" w:eastAsia="黑体" w:cs="Arial"/>
      <w:sz w:val="20"/>
    </w:rPr>
  </w:style>
  <w:style w:type="paragraph" w:styleId="27">
    <w:name w:val="index 5"/>
    <w:basedOn w:val="1"/>
    <w:next w:val="1"/>
    <w:qFormat/>
    <w:uiPriority w:val="0"/>
    <w:pPr>
      <w:ind w:left="800" w:leftChars="800"/>
    </w:pPr>
  </w:style>
  <w:style w:type="paragraph" w:styleId="28">
    <w:name w:val="List Bullet"/>
    <w:basedOn w:val="1"/>
    <w:uiPriority w:val="0"/>
    <w:pPr>
      <w:numPr>
        <w:ilvl w:val="0"/>
        <w:numId w:val="4"/>
      </w:numPr>
    </w:pPr>
  </w:style>
  <w:style w:type="paragraph" w:styleId="29">
    <w:name w:val="envelope address"/>
    <w:basedOn w:val="1"/>
    <w:qFormat/>
    <w:uiPriority w:val="0"/>
    <w:pPr>
      <w:snapToGrid w:val="0"/>
      <w:ind w:left="100" w:leftChars="1400"/>
    </w:pPr>
    <w:rPr>
      <w:rFonts w:ascii="Arial" w:hAnsi="Arial" w:cs="Arial"/>
      <w:sz w:val="24"/>
      <w:szCs w:val="24"/>
    </w:rPr>
  </w:style>
  <w:style w:type="paragraph" w:styleId="30">
    <w:name w:val="Document Map"/>
    <w:basedOn w:val="1"/>
    <w:qFormat/>
    <w:uiPriority w:val="0"/>
    <w:pPr>
      <w:shd w:val="clear" w:color="auto" w:fill="000080"/>
    </w:pPr>
  </w:style>
  <w:style w:type="paragraph" w:styleId="31">
    <w:name w:val="toa heading"/>
    <w:basedOn w:val="1"/>
    <w:next w:val="1"/>
    <w:qFormat/>
    <w:uiPriority w:val="0"/>
    <w:pPr>
      <w:spacing w:before="120"/>
    </w:pPr>
    <w:rPr>
      <w:rFonts w:ascii="Arial" w:hAnsi="Arial" w:cs="Arial"/>
      <w:sz w:val="24"/>
      <w:szCs w:val="24"/>
    </w:rPr>
  </w:style>
  <w:style w:type="paragraph" w:styleId="32">
    <w:name w:val="index 6"/>
    <w:basedOn w:val="1"/>
    <w:next w:val="1"/>
    <w:qFormat/>
    <w:uiPriority w:val="0"/>
    <w:pPr>
      <w:ind w:left="1000" w:leftChars="1000"/>
    </w:pPr>
  </w:style>
  <w:style w:type="paragraph" w:styleId="33">
    <w:name w:val="Salutation"/>
    <w:basedOn w:val="1"/>
    <w:next w:val="1"/>
    <w:qFormat/>
    <w:uiPriority w:val="0"/>
  </w:style>
  <w:style w:type="paragraph" w:styleId="34">
    <w:name w:val="Body Text 3"/>
    <w:basedOn w:val="1"/>
    <w:qFormat/>
    <w:uiPriority w:val="0"/>
    <w:pPr>
      <w:spacing w:after="120"/>
    </w:pPr>
    <w:rPr>
      <w:sz w:val="16"/>
      <w:szCs w:val="16"/>
    </w:rPr>
  </w:style>
  <w:style w:type="paragraph" w:styleId="35">
    <w:name w:val="Closing"/>
    <w:basedOn w:val="1"/>
    <w:qFormat/>
    <w:uiPriority w:val="0"/>
    <w:pPr>
      <w:ind w:left="100" w:leftChars="2100"/>
    </w:pPr>
  </w:style>
  <w:style w:type="paragraph" w:styleId="36">
    <w:name w:val="List Bullet 3"/>
    <w:basedOn w:val="1"/>
    <w:qFormat/>
    <w:uiPriority w:val="0"/>
    <w:pPr>
      <w:numPr>
        <w:ilvl w:val="0"/>
        <w:numId w:val="5"/>
      </w:numPr>
    </w:pPr>
  </w:style>
  <w:style w:type="paragraph" w:styleId="37">
    <w:name w:val="Body Text Indent"/>
    <w:basedOn w:val="1"/>
    <w:qFormat/>
    <w:uiPriority w:val="0"/>
    <w:pPr>
      <w:spacing w:after="120"/>
      <w:ind w:left="420" w:leftChars="200"/>
    </w:pPr>
  </w:style>
  <w:style w:type="paragraph" w:styleId="38">
    <w:name w:val="List Number 3"/>
    <w:basedOn w:val="1"/>
    <w:qFormat/>
    <w:uiPriority w:val="0"/>
    <w:pPr>
      <w:numPr>
        <w:ilvl w:val="0"/>
        <w:numId w:val="6"/>
      </w:numPr>
    </w:p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ind w:left="420" w:leftChars="200"/>
    </w:pPr>
  </w:style>
  <w:style w:type="paragraph" w:styleId="41">
    <w:name w:val="Block Text"/>
    <w:basedOn w:val="1"/>
    <w:qFormat/>
    <w:uiPriority w:val="0"/>
    <w:pPr>
      <w:spacing w:after="120"/>
      <w:ind w:left="1440" w:leftChars="700" w:right="1440" w:rightChars="700"/>
    </w:pPr>
  </w:style>
  <w:style w:type="paragraph" w:styleId="42">
    <w:name w:val="List Bullet 2"/>
    <w:basedOn w:val="1"/>
    <w:qFormat/>
    <w:uiPriority w:val="0"/>
    <w:pPr>
      <w:numPr>
        <w:ilvl w:val="0"/>
        <w:numId w:val="7"/>
      </w:numPr>
    </w:pPr>
  </w:style>
  <w:style w:type="paragraph" w:styleId="43">
    <w:name w:val="HTML Address"/>
    <w:basedOn w:val="1"/>
    <w:qFormat/>
    <w:uiPriority w:val="0"/>
    <w:rPr>
      <w:i/>
      <w:iCs/>
    </w:rPr>
  </w:style>
  <w:style w:type="paragraph" w:styleId="44">
    <w:name w:val="index 4"/>
    <w:basedOn w:val="1"/>
    <w:next w:val="1"/>
    <w:qFormat/>
    <w:uiPriority w:val="0"/>
    <w:pPr>
      <w:ind w:left="600" w:leftChars="600"/>
    </w:pPr>
  </w:style>
  <w:style w:type="paragraph" w:styleId="45">
    <w:name w:val="toc 5"/>
    <w:basedOn w:val="1"/>
    <w:next w:val="1"/>
    <w:qFormat/>
    <w:uiPriority w:val="0"/>
    <w:pPr>
      <w:ind w:left="840"/>
      <w:jc w:val="left"/>
    </w:pPr>
    <w:rPr>
      <w:rFonts w:asciiTheme="minorHAnsi" w:hAnsiTheme="minorHAnsi" w:cstheme="minorHAnsi"/>
      <w:sz w:val="18"/>
      <w:szCs w:val="18"/>
    </w:rPr>
  </w:style>
  <w:style w:type="paragraph" w:styleId="46">
    <w:name w:val="toc 3"/>
    <w:basedOn w:val="1"/>
    <w:next w:val="1"/>
    <w:qFormat/>
    <w:uiPriority w:val="39"/>
    <w:pPr>
      <w:ind w:left="420"/>
      <w:jc w:val="left"/>
    </w:pPr>
    <w:rPr>
      <w:rFonts w:asciiTheme="minorHAnsi" w:hAnsiTheme="minorHAnsi" w:cstheme="minorHAnsi"/>
      <w:i/>
      <w:iCs/>
      <w:sz w:val="20"/>
    </w:rPr>
  </w:style>
  <w:style w:type="paragraph" w:styleId="47">
    <w:name w:val="Plain Text"/>
    <w:basedOn w:val="1"/>
    <w:qFormat/>
    <w:uiPriority w:val="0"/>
    <w:rPr>
      <w:rFonts w:ascii="宋体" w:hAnsi="Courier New" w:cs="Courier New"/>
      <w:szCs w:val="21"/>
    </w:rPr>
  </w:style>
  <w:style w:type="paragraph" w:styleId="48">
    <w:name w:val="List Bullet 5"/>
    <w:basedOn w:val="1"/>
    <w:qFormat/>
    <w:uiPriority w:val="0"/>
    <w:pPr>
      <w:numPr>
        <w:ilvl w:val="0"/>
        <w:numId w:val="8"/>
      </w:numPr>
    </w:pPr>
  </w:style>
  <w:style w:type="paragraph" w:styleId="49">
    <w:name w:val="List Number 4"/>
    <w:basedOn w:val="1"/>
    <w:qFormat/>
    <w:uiPriority w:val="0"/>
    <w:pPr>
      <w:numPr>
        <w:ilvl w:val="0"/>
        <w:numId w:val="9"/>
      </w:numPr>
    </w:pPr>
  </w:style>
  <w:style w:type="paragraph" w:styleId="50">
    <w:name w:val="toc 8"/>
    <w:basedOn w:val="1"/>
    <w:next w:val="1"/>
    <w:qFormat/>
    <w:uiPriority w:val="0"/>
    <w:pPr>
      <w:ind w:left="1470"/>
      <w:jc w:val="left"/>
    </w:pPr>
    <w:rPr>
      <w:rFonts w:asciiTheme="minorHAnsi" w:hAnsiTheme="minorHAnsi" w:cstheme="minorHAnsi"/>
      <w:sz w:val="18"/>
      <w:szCs w:val="18"/>
    </w:rPr>
  </w:style>
  <w:style w:type="paragraph" w:styleId="51">
    <w:name w:val="index 3"/>
    <w:basedOn w:val="1"/>
    <w:next w:val="1"/>
    <w:qFormat/>
    <w:uiPriority w:val="0"/>
    <w:pPr>
      <w:ind w:left="400" w:leftChars="400"/>
    </w:pPr>
  </w:style>
  <w:style w:type="paragraph" w:styleId="52">
    <w:name w:val="Date"/>
    <w:basedOn w:val="1"/>
    <w:next w:val="1"/>
    <w:qFormat/>
    <w:uiPriority w:val="0"/>
    <w:pPr>
      <w:ind w:left="100" w:leftChars="2500"/>
    </w:pPr>
  </w:style>
  <w:style w:type="paragraph" w:styleId="53">
    <w:name w:val="Body Text Indent 2"/>
    <w:basedOn w:val="1"/>
    <w:qFormat/>
    <w:uiPriority w:val="0"/>
    <w:pPr>
      <w:spacing w:after="120" w:line="480" w:lineRule="auto"/>
      <w:ind w:left="200" w:leftChars="200"/>
    </w:pPr>
  </w:style>
  <w:style w:type="paragraph" w:styleId="54">
    <w:name w:val="endnote text"/>
    <w:basedOn w:val="1"/>
    <w:qFormat/>
    <w:uiPriority w:val="0"/>
    <w:pPr>
      <w:snapToGrid w:val="0"/>
      <w:jc w:val="left"/>
    </w:pPr>
  </w:style>
  <w:style w:type="paragraph" w:styleId="55">
    <w:name w:val="List Continue 5"/>
    <w:basedOn w:val="1"/>
    <w:qFormat/>
    <w:uiPriority w:val="0"/>
    <w:pPr>
      <w:spacing w:after="120"/>
      <w:ind w:left="2100" w:leftChars="1000"/>
    </w:pPr>
  </w:style>
  <w:style w:type="paragraph" w:styleId="56">
    <w:name w:val="Balloon Text"/>
    <w:basedOn w:val="1"/>
    <w:qFormat/>
    <w:uiPriority w:val="0"/>
    <w:rPr>
      <w:sz w:val="18"/>
      <w:szCs w:val="18"/>
    </w:rPr>
  </w:style>
  <w:style w:type="paragraph" w:styleId="57">
    <w:name w:val="footer"/>
    <w:basedOn w:val="1"/>
    <w:link w:val="97"/>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pPr>
    <w:rPr>
      <w:rFonts w:ascii="Arial" w:hAnsi="Arial" w:cs="Arial"/>
    </w:rPr>
  </w:style>
  <w:style w:type="paragraph" w:styleId="59">
    <w:name w:val="Body Text First Indent 2"/>
    <w:basedOn w:val="37"/>
    <w:qFormat/>
    <w:uiPriority w:val="0"/>
    <w:pPr>
      <w:ind w:firstLine="420" w:firstLineChars="200"/>
    </w:pPr>
  </w:style>
  <w:style w:type="paragraph" w:styleId="60">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qFormat/>
    <w:uiPriority w:val="0"/>
    <w:pPr>
      <w:ind w:left="100" w:leftChars="2100"/>
    </w:pPr>
  </w:style>
  <w:style w:type="paragraph" w:styleId="62">
    <w:name w:val="toc 1"/>
    <w:basedOn w:val="1"/>
    <w:next w:val="1"/>
    <w:qFormat/>
    <w:uiPriority w:val="39"/>
    <w:pPr>
      <w:spacing w:before="120" w:after="120"/>
      <w:jc w:val="left"/>
    </w:pPr>
    <w:rPr>
      <w:rFonts w:asciiTheme="minorHAnsi" w:hAnsiTheme="minorHAnsi" w:cstheme="minorHAnsi"/>
      <w:b/>
      <w:bCs/>
      <w:caps/>
      <w:sz w:val="20"/>
    </w:rPr>
  </w:style>
  <w:style w:type="paragraph" w:styleId="63">
    <w:name w:val="List Continue 4"/>
    <w:basedOn w:val="1"/>
    <w:qFormat/>
    <w:uiPriority w:val="0"/>
    <w:pPr>
      <w:spacing w:after="120"/>
      <w:ind w:left="1680" w:leftChars="800"/>
    </w:pPr>
  </w:style>
  <w:style w:type="paragraph" w:styleId="64">
    <w:name w:val="toc 4"/>
    <w:basedOn w:val="1"/>
    <w:next w:val="1"/>
    <w:qFormat/>
    <w:uiPriority w:val="0"/>
    <w:pPr>
      <w:ind w:left="630"/>
      <w:jc w:val="left"/>
    </w:pPr>
    <w:rPr>
      <w:rFonts w:asciiTheme="minorHAnsi" w:hAnsiTheme="minorHAnsi" w:cstheme="minorHAnsi"/>
      <w:sz w:val="18"/>
      <w:szCs w:val="18"/>
    </w:rPr>
  </w:style>
  <w:style w:type="paragraph" w:styleId="65">
    <w:name w:val="index heading"/>
    <w:basedOn w:val="1"/>
    <w:next w:val="66"/>
    <w:qFormat/>
    <w:uiPriority w:val="0"/>
    <w:rPr>
      <w:rFonts w:ascii="Arial" w:hAnsi="Arial" w:cs="Arial"/>
      <w:b/>
      <w:bCs/>
    </w:rPr>
  </w:style>
  <w:style w:type="paragraph" w:styleId="66">
    <w:name w:val="index 1"/>
    <w:basedOn w:val="1"/>
    <w:next w:val="1"/>
    <w:qFormat/>
    <w:uiPriority w:val="0"/>
  </w:style>
  <w:style w:type="paragraph" w:styleId="67">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8">
    <w:name w:val="List Number 5"/>
    <w:basedOn w:val="1"/>
    <w:qFormat/>
    <w:uiPriority w:val="0"/>
    <w:pPr>
      <w:numPr>
        <w:ilvl w:val="0"/>
        <w:numId w:val="10"/>
      </w:numPr>
    </w:pPr>
  </w:style>
  <w:style w:type="paragraph" w:styleId="69">
    <w:name w:val="List"/>
    <w:basedOn w:val="1"/>
    <w:qFormat/>
    <w:uiPriority w:val="0"/>
    <w:pPr>
      <w:ind w:left="200" w:hanging="200" w:hangingChars="200"/>
    </w:pPr>
  </w:style>
  <w:style w:type="paragraph" w:styleId="70">
    <w:name w:val="footnote text"/>
    <w:basedOn w:val="1"/>
    <w:qFormat/>
    <w:uiPriority w:val="0"/>
    <w:pPr>
      <w:snapToGrid w:val="0"/>
      <w:jc w:val="left"/>
    </w:pPr>
    <w:rPr>
      <w:sz w:val="18"/>
      <w:szCs w:val="18"/>
    </w:rPr>
  </w:style>
  <w:style w:type="paragraph" w:styleId="71">
    <w:name w:val="toc 6"/>
    <w:basedOn w:val="1"/>
    <w:next w:val="1"/>
    <w:qFormat/>
    <w:uiPriority w:val="0"/>
    <w:pPr>
      <w:ind w:left="1050"/>
      <w:jc w:val="left"/>
    </w:pPr>
    <w:rPr>
      <w:rFonts w:asciiTheme="minorHAnsi" w:hAnsiTheme="minorHAnsi" w:cstheme="minorHAnsi"/>
      <w:sz w:val="18"/>
      <w:szCs w:val="18"/>
    </w:rPr>
  </w:style>
  <w:style w:type="paragraph" w:styleId="72">
    <w:name w:val="List 5"/>
    <w:basedOn w:val="1"/>
    <w:qFormat/>
    <w:uiPriority w:val="0"/>
    <w:pPr>
      <w:ind w:left="100" w:leftChars="800" w:hanging="200" w:hangingChars="200"/>
    </w:pPr>
  </w:style>
  <w:style w:type="paragraph" w:styleId="73">
    <w:name w:val="Body Text Indent 3"/>
    <w:basedOn w:val="1"/>
    <w:qFormat/>
    <w:uiPriority w:val="0"/>
    <w:pPr>
      <w:spacing w:after="120"/>
      <w:ind w:left="420" w:leftChars="200"/>
    </w:pPr>
    <w:rPr>
      <w:sz w:val="16"/>
      <w:szCs w:val="16"/>
    </w:rPr>
  </w:style>
  <w:style w:type="paragraph" w:styleId="74">
    <w:name w:val="index 7"/>
    <w:basedOn w:val="1"/>
    <w:next w:val="1"/>
    <w:qFormat/>
    <w:uiPriority w:val="0"/>
    <w:pPr>
      <w:ind w:left="1200" w:leftChars="1200"/>
    </w:pPr>
  </w:style>
  <w:style w:type="paragraph" w:styleId="75">
    <w:name w:val="index 9"/>
    <w:basedOn w:val="1"/>
    <w:next w:val="1"/>
    <w:qFormat/>
    <w:uiPriority w:val="0"/>
    <w:pPr>
      <w:ind w:left="1600" w:leftChars="1600"/>
    </w:pPr>
  </w:style>
  <w:style w:type="paragraph" w:styleId="76">
    <w:name w:val="table of figures"/>
    <w:basedOn w:val="1"/>
    <w:next w:val="1"/>
    <w:qFormat/>
    <w:uiPriority w:val="0"/>
    <w:pPr>
      <w:ind w:left="200" w:leftChars="200" w:hanging="200" w:hangingChars="200"/>
    </w:pPr>
  </w:style>
  <w:style w:type="paragraph" w:styleId="77">
    <w:name w:val="toc 2"/>
    <w:basedOn w:val="1"/>
    <w:next w:val="1"/>
    <w:qFormat/>
    <w:uiPriority w:val="39"/>
    <w:pPr>
      <w:ind w:left="210"/>
      <w:jc w:val="left"/>
    </w:pPr>
    <w:rPr>
      <w:rFonts w:asciiTheme="minorHAnsi" w:hAnsiTheme="minorHAnsi" w:cstheme="minorHAnsi"/>
      <w:smallCaps/>
      <w:sz w:val="20"/>
    </w:rPr>
  </w:style>
  <w:style w:type="paragraph" w:styleId="78">
    <w:name w:val="toc 9"/>
    <w:basedOn w:val="1"/>
    <w:next w:val="1"/>
    <w:qFormat/>
    <w:uiPriority w:val="0"/>
    <w:pPr>
      <w:ind w:left="1680"/>
      <w:jc w:val="left"/>
    </w:pPr>
    <w:rPr>
      <w:rFonts w:asciiTheme="minorHAnsi" w:hAnsiTheme="minorHAnsi" w:cstheme="minorHAnsi"/>
      <w:sz w:val="18"/>
      <w:szCs w:val="18"/>
    </w:rPr>
  </w:style>
  <w:style w:type="paragraph" w:styleId="79">
    <w:name w:val="Body Text 2"/>
    <w:basedOn w:val="1"/>
    <w:qFormat/>
    <w:uiPriority w:val="0"/>
    <w:pPr>
      <w:spacing w:after="120" w:line="480" w:lineRule="auto"/>
    </w:pPr>
  </w:style>
  <w:style w:type="paragraph" w:styleId="80">
    <w:name w:val="List 4"/>
    <w:basedOn w:val="1"/>
    <w:qFormat/>
    <w:uiPriority w:val="0"/>
    <w:pPr>
      <w:ind w:left="100" w:leftChars="600" w:hanging="200" w:hangingChars="200"/>
    </w:pPr>
  </w:style>
  <w:style w:type="paragraph" w:styleId="81">
    <w:name w:val="List Continue 2"/>
    <w:basedOn w:val="1"/>
    <w:qFormat/>
    <w:uiPriority w:val="0"/>
    <w:pPr>
      <w:spacing w:after="120"/>
      <w:ind w:left="840" w:leftChars="400"/>
    </w:pPr>
  </w:style>
  <w:style w:type="paragraph" w:styleId="8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3">
    <w:name w:val="HTML Preformatted"/>
    <w:basedOn w:val="1"/>
    <w:qFormat/>
    <w:uiPriority w:val="0"/>
    <w:rPr>
      <w:rFonts w:ascii="Courier New" w:hAnsi="Courier New" w:cs="Courier New"/>
      <w:sz w:val="20"/>
    </w:rPr>
  </w:style>
  <w:style w:type="paragraph" w:styleId="84">
    <w:name w:val="Normal (Web)"/>
    <w:basedOn w:val="1"/>
    <w:qFormat/>
    <w:uiPriority w:val="0"/>
    <w:rPr>
      <w:sz w:val="24"/>
      <w:szCs w:val="24"/>
    </w:rPr>
  </w:style>
  <w:style w:type="paragraph" w:styleId="85">
    <w:name w:val="List Continue 3"/>
    <w:basedOn w:val="1"/>
    <w:qFormat/>
    <w:uiPriority w:val="0"/>
    <w:pPr>
      <w:spacing w:after="120"/>
      <w:ind w:left="1260" w:leftChars="600"/>
    </w:pPr>
  </w:style>
  <w:style w:type="paragraph" w:styleId="86">
    <w:name w:val="index 2"/>
    <w:basedOn w:val="1"/>
    <w:next w:val="1"/>
    <w:qFormat/>
    <w:uiPriority w:val="0"/>
    <w:pPr>
      <w:ind w:left="200" w:leftChars="200"/>
    </w:pPr>
  </w:style>
  <w:style w:type="paragraph" w:styleId="87">
    <w:name w:val="Title"/>
    <w:basedOn w:val="1"/>
    <w:qFormat/>
    <w:uiPriority w:val="0"/>
    <w:pPr>
      <w:spacing w:before="240" w:after="60"/>
      <w:jc w:val="center"/>
      <w:outlineLvl w:val="0"/>
    </w:pPr>
    <w:rPr>
      <w:rFonts w:ascii="Arial" w:hAnsi="Arial" w:eastAsia="黑体" w:cs="Arial"/>
      <w:b/>
      <w:bCs/>
      <w:sz w:val="36"/>
      <w:szCs w:val="32"/>
    </w:rPr>
  </w:style>
  <w:style w:type="character" w:styleId="89">
    <w:name w:val="page number"/>
    <w:basedOn w:val="88"/>
    <w:qFormat/>
    <w:uiPriority w:val="0"/>
  </w:style>
  <w:style w:type="character" w:styleId="90">
    <w:name w:val="Emphasis"/>
    <w:basedOn w:val="88"/>
    <w:qFormat/>
    <w:uiPriority w:val="20"/>
    <w:rPr>
      <w:i/>
      <w:iCs/>
    </w:rPr>
  </w:style>
  <w:style w:type="character" w:styleId="91">
    <w:name w:val="Hyperlink"/>
    <w:qFormat/>
    <w:uiPriority w:val="99"/>
    <w:rPr>
      <w:color w:val="0000FF"/>
      <w:u w:val="single"/>
    </w:rPr>
  </w:style>
  <w:style w:type="character" w:styleId="92">
    <w:name w:val="annotation reference"/>
    <w:qFormat/>
    <w:uiPriority w:val="0"/>
    <w:rPr>
      <w:sz w:val="21"/>
      <w:szCs w:val="21"/>
    </w:rPr>
  </w:style>
  <w:style w:type="paragraph" w:customStyle="1" w:styleId="94">
    <w:name w:val="默认段落字体 Para Char"/>
    <w:basedOn w:val="1"/>
    <w:qFormat/>
    <w:uiPriority w:val="0"/>
    <w:pPr>
      <w:widowControl w:val="0"/>
      <w:tabs>
        <w:tab w:val="left" w:pos="980"/>
      </w:tabs>
      <w:overflowPunct/>
      <w:autoSpaceDE/>
      <w:autoSpaceDN/>
      <w:adjustRightInd/>
      <w:ind w:left="980" w:hanging="420"/>
    </w:pPr>
    <w:rPr>
      <w:kern w:val="2"/>
      <w:sz w:val="24"/>
      <w:szCs w:val="24"/>
    </w:rPr>
  </w:style>
  <w:style w:type="paragraph" w:customStyle="1" w:styleId="95">
    <w:name w:val="Char Char Char Char Char Char Char Char Char Char Char Char Char Char"/>
    <w:basedOn w:val="1"/>
    <w:qFormat/>
    <w:uiPriority w:val="0"/>
    <w:pPr>
      <w:widowControl w:val="0"/>
      <w:overflowPunct/>
      <w:autoSpaceDE/>
      <w:autoSpaceDN/>
      <w:adjustRightInd/>
    </w:pPr>
  </w:style>
  <w:style w:type="paragraph" w:customStyle="1" w:styleId="96">
    <w:name w:val="Char"/>
    <w:basedOn w:val="1"/>
    <w:semiHidden/>
    <w:qFormat/>
    <w:uiPriority w:val="0"/>
    <w:pPr>
      <w:widowControl w:val="0"/>
      <w:overflowPunct/>
      <w:autoSpaceDE/>
      <w:autoSpaceDN/>
      <w:adjustRightInd/>
    </w:pPr>
    <w:rPr>
      <w:kern w:val="2"/>
      <w:szCs w:val="24"/>
    </w:rPr>
  </w:style>
  <w:style w:type="character" w:customStyle="1" w:styleId="97">
    <w:name w:val="页脚 Char"/>
    <w:link w:val="57"/>
    <w:qFormat/>
    <w:uiPriority w:val="99"/>
    <w:rPr>
      <w:sz w:val="18"/>
      <w:szCs w:val="18"/>
    </w:rPr>
  </w:style>
  <w:style w:type="character" w:customStyle="1" w:styleId="98">
    <w:name w:val="办文来文摘要"/>
    <w:qFormat/>
    <w:uiPriority w:val="0"/>
    <w:rPr>
      <w:rFonts w:eastAsia="仿宋_GB2312"/>
      <w:sz w:val="24"/>
    </w:rPr>
  </w:style>
  <w:style w:type="paragraph" w:customStyle="1" w:styleId="99">
    <w:name w:val="Char Char Char1 Char Char Char Char"/>
    <w:basedOn w:val="1"/>
    <w:qFormat/>
    <w:uiPriority w:val="0"/>
    <w:pPr>
      <w:widowControl w:val="0"/>
      <w:overflowPunct/>
      <w:autoSpaceDE/>
      <w:autoSpaceDN/>
      <w:adjustRightInd/>
    </w:pPr>
  </w:style>
  <w:style w:type="character" w:customStyle="1" w:styleId="100">
    <w:name w:val="页眉 Char"/>
    <w:link w:val="60"/>
    <w:qFormat/>
    <w:uiPriority w:val="99"/>
    <w:rPr>
      <w:sz w:val="18"/>
      <w:szCs w:val="18"/>
    </w:rPr>
  </w:style>
  <w:style w:type="paragraph" w:customStyle="1" w:styleId="101">
    <w:name w:val="Char Char Char Char Char Char Char Char"/>
    <w:basedOn w:val="1"/>
    <w:qFormat/>
    <w:uiPriority w:val="0"/>
    <w:pPr>
      <w:widowControl w:val="0"/>
      <w:overflowPunct/>
      <w:autoSpaceDE/>
      <w:autoSpaceDN/>
      <w:adjustRightInd/>
    </w:pPr>
  </w:style>
  <w:style w:type="paragraph" w:customStyle="1" w:styleId="102">
    <w:name w:val="List Paragraph"/>
    <w:basedOn w:val="1"/>
    <w:qFormat/>
    <w:uiPriority w:val="34"/>
    <w:pPr>
      <w:widowControl w:val="0"/>
      <w:overflowPunct/>
      <w:autoSpaceDE/>
      <w:autoSpaceDN/>
      <w:adjustRightInd/>
      <w:ind w:firstLine="420" w:firstLineChars="200"/>
    </w:pPr>
    <w:rPr>
      <w:rFonts w:ascii="Calibri" w:hAnsi="Calibri"/>
      <w:kern w:val="2"/>
      <w:szCs w:val="22"/>
    </w:rPr>
  </w:style>
  <w:style w:type="paragraph" w:customStyle="1" w:styleId="103">
    <w:name w:val="Char Char Char1 Char Char Char Char1"/>
    <w:basedOn w:val="1"/>
    <w:qFormat/>
    <w:uiPriority w:val="0"/>
    <w:pPr>
      <w:widowControl w:val="0"/>
      <w:overflowPunct/>
      <w:autoSpaceDE/>
      <w:autoSpaceDN/>
      <w:adjustRightInd/>
    </w:pPr>
    <w:rPr>
      <w:kern w:val="2"/>
      <w:szCs w:val="24"/>
    </w:rPr>
  </w:style>
  <w:style w:type="paragraph" w:customStyle="1" w:styleId="104">
    <w:name w:val="Char Char Char Char Char Char Char Char Char Char Char Char Char Char Char Char Char Char Char Char Char Char Char Char Char Char Char Char Char Char Char Char Char"/>
    <w:basedOn w:val="1"/>
    <w:qFormat/>
    <w:uiPriority w:val="0"/>
    <w:pPr>
      <w:overflowPunct/>
      <w:autoSpaceDE/>
      <w:autoSpaceDN/>
      <w:adjustRightInd/>
      <w:spacing w:after="160" w:line="240" w:lineRule="exact"/>
      <w:jc w:val="left"/>
    </w:pPr>
    <w:rPr>
      <w:rFonts w:ascii="Verdana" w:hAnsi="Verdana" w:eastAsia="仿宋_GB2312" w:cs="Verdana"/>
      <w:snapToGrid w:val="0"/>
      <w:sz w:val="24"/>
      <w:szCs w:val="21"/>
      <w:lang w:eastAsia="en-US"/>
    </w:rPr>
  </w:style>
  <w:style w:type="paragraph" w:customStyle="1" w:styleId="105">
    <w:name w:val="Char1"/>
    <w:basedOn w:val="1"/>
    <w:semiHidden/>
    <w:qFormat/>
    <w:uiPriority w:val="0"/>
    <w:pPr>
      <w:widowControl w:val="0"/>
      <w:overflowPunct/>
      <w:autoSpaceDE/>
      <w:autoSpaceDN/>
      <w:adjustRightInd/>
    </w:pPr>
    <w:rPr>
      <w:kern w:val="2"/>
      <w:szCs w:val="24"/>
    </w:rPr>
  </w:style>
  <w:style w:type="paragraph" w:customStyle="1" w:styleId="106">
    <w:name w:val="TOC 标题1"/>
    <w:basedOn w:val="2"/>
    <w:next w:val="1"/>
    <w:unhideWhenUsed/>
    <w:qFormat/>
    <w:uiPriority w:val="39"/>
    <w:pPr>
      <w:keepNext/>
      <w:keepLines/>
      <w:outlineLvl w:val="9"/>
    </w:pPr>
    <w:rPr>
      <w:rFonts w:eastAsia="宋体"/>
      <w:sz w:val="44"/>
    </w:rPr>
  </w:style>
  <w:style w:type="paragraph" w:customStyle="1" w:styleId="107">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1A4189-4460-48E9-B587-EC4F813E378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25</Pages>
  <Words>8430</Words>
  <Characters>2690</Characters>
  <Lines>22</Lines>
  <Paragraphs>22</Paragraphs>
  <ScaleCrop>false</ScaleCrop>
  <LinksUpToDate>false</LinksUpToDate>
  <CharactersWithSpaces>11098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2015-10-29T07:36:00Z</dcterms:created>
  <dc:creator>李娟</dc:creator>
  <cp:lastModifiedBy>Administrator</cp:lastModifiedBy>
  <cp:lastPrinted>2016-01-26T06:48:00Z</cp:lastPrinted>
  <dcterms:modified xsi:type="dcterms:W3CDTF">2019-05-30T07:25:43Z</dcterms:modified>
  <dc:title>昆明市财政项目支出绩效评价报告</dc:title>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