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黑体" w:eastAsia="方正小标宋简体"/>
          <w:spacing w:val="-20"/>
          <w:sz w:val="36"/>
          <w:szCs w:val="36"/>
        </w:rPr>
      </w:pPr>
      <w:r>
        <w:rPr>
          <w:rFonts w:hint="eastAsia" w:ascii="方正小标宋简体" w:hAnsi="黑体" w:eastAsia="方正小标宋简体"/>
          <w:spacing w:val="-20"/>
          <w:sz w:val="36"/>
          <w:szCs w:val="36"/>
        </w:rPr>
        <w:t>201</w:t>
      </w:r>
      <w:r>
        <w:rPr>
          <w:rFonts w:hint="eastAsia" w:ascii="方正小标宋简体" w:hAnsi="黑体" w:eastAsia="方正小标宋简体"/>
          <w:spacing w:val="-20"/>
          <w:sz w:val="36"/>
          <w:szCs w:val="36"/>
          <w:lang w:val="en-US" w:eastAsia="zh-CN"/>
        </w:rPr>
        <w:t>8</w:t>
      </w:r>
      <w:r>
        <w:rPr>
          <w:rFonts w:hint="eastAsia" w:ascii="方正小标宋简体" w:hAnsi="黑体" w:eastAsia="方正小标宋简体"/>
          <w:spacing w:val="-20"/>
          <w:sz w:val="36"/>
          <w:szCs w:val="36"/>
        </w:rPr>
        <w:t>年</w:t>
      </w:r>
      <w:r>
        <w:rPr>
          <w:rFonts w:hint="eastAsia" w:ascii="方正小标宋简体" w:hAnsi="黑体" w:eastAsia="方正小标宋简体"/>
          <w:spacing w:val="-20"/>
          <w:sz w:val="36"/>
          <w:szCs w:val="36"/>
          <w:lang w:eastAsia="zh-CN"/>
        </w:rPr>
        <w:t>精神障碍患者监护人</w:t>
      </w:r>
      <w:r>
        <w:rPr>
          <w:rFonts w:hint="eastAsia" w:ascii="方正小标宋简体" w:hAnsi="黑体" w:eastAsia="方正小标宋简体"/>
          <w:spacing w:val="-20"/>
          <w:sz w:val="36"/>
          <w:szCs w:val="36"/>
        </w:rPr>
        <w:t>“以奖代补”</w:t>
      </w:r>
    </w:p>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项目支出绩效评价报告</w:t>
      </w:r>
    </w:p>
    <w:p>
      <w:pPr>
        <w:topLinePunct/>
        <w:spacing w:line="540" w:lineRule="exact"/>
        <w:ind w:firstLine="800" w:firstLineChars="250"/>
        <w:rPr>
          <w:rFonts w:ascii="黑体" w:eastAsia="黑体"/>
          <w:szCs w:val="32"/>
        </w:rPr>
      </w:pPr>
    </w:p>
    <w:p>
      <w:pPr>
        <w:pStyle w:val="17"/>
        <w:spacing w:line="360" w:lineRule="auto"/>
        <w:ind w:firstLine="664"/>
        <w:rPr>
          <w:rFonts w:ascii="仿宋_GB2312"/>
        </w:rPr>
      </w:pPr>
      <w:r>
        <w:rPr>
          <w:rFonts w:hint="eastAsia" w:ascii="仿宋_GB2312"/>
        </w:rPr>
        <w:t>根据《中华人民共和国预算法》、《昆明市人民政府关于全面推进预算绩效管理改革的实施意见》（昆政发〔2016〕12号）和《昆明市人民政府关于分解下达预算绩效管理改革任务的通知》（昆政办〔2016〕61号）和《昆明市财政局关于开展</w:t>
      </w:r>
      <w:r>
        <w:rPr>
          <w:rFonts w:hint="eastAsia" w:ascii="仿宋_GB2312"/>
          <w:lang w:eastAsia="zh-CN"/>
        </w:rPr>
        <w:t>2018年</w:t>
      </w:r>
      <w:r>
        <w:rPr>
          <w:rFonts w:hint="eastAsia" w:ascii="仿宋_GB2312"/>
        </w:rPr>
        <w:t>度市本级预算支出绩效自评工作方案的通知》（昆财绩〔2018〕56号）等文件的相关要求，于2018年5月2日至5月13日对中共昆明市委政法委员会（以下简称“市政法委”）</w:t>
      </w:r>
      <w:r>
        <w:rPr>
          <w:rFonts w:hint="eastAsia" w:ascii="仿宋_GB2312" w:hAnsi="黑体"/>
          <w:spacing w:val="-20"/>
        </w:rPr>
        <w:t>201</w:t>
      </w:r>
      <w:r>
        <w:rPr>
          <w:rFonts w:hint="eastAsia" w:ascii="仿宋_GB2312" w:hAnsi="黑体"/>
          <w:spacing w:val="-20"/>
          <w:lang w:val="en-US" w:eastAsia="zh-CN"/>
        </w:rPr>
        <w:t>8</w:t>
      </w:r>
      <w:r>
        <w:rPr>
          <w:rFonts w:hint="eastAsia" w:ascii="仿宋_GB2312" w:hAnsi="黑体"/>
          <w:spacing w:val="-20"/>
        </w:rPr>
        <w:t>年</w:t>
      </w:r>
      <w:r>
        <w:rPr>
          <w:rFonts w:hint="eastAsia" w:ascii="仿宋_GB2312" w:hAnsi="黑体"/>
          <w:spacing w:val="-20"/>
          <w:lang w:eastAsia="zh-CN"/>
        </w:rPr>
        <w:t>精神障碍患者监护人</w:t>
      </w:r>
      <w:r>
        <w:rPr>
          <w:rFonts w:hint="eastAsia" w:ascii="仿宋_GB2312" w:hAnsi="黑体"/>
          <w:spacing w:val="-20"/>
        </w:rPr>
        <w:t>以奖代补</w:t>
      </w:r>
      <w:r>
        <w:rPr>
          <w:rFonts w:hint="eastAsia" w:ascii="仿宋_GB2312"/>
        </w:rPr>
        <w:t>项目进行绩效评价。现将评价情况报告如下：</w:t>
      </w:r>
    </w:p>
    <w:p>
      <w:pPr>
        <w:pStyle w:val="22"/>
        <w:spacing w:line="360" w:lineRule="auto"/>
      </w:pPr>
      <w:bookmarkStart w:id="0" w:name="_Toc514330877"/>
      <w:r>
        <w:rPr>
          <w:rFonts w:hint="eastAsia"/>
        </w:rPr>
        <w:t>一、项目基本情况</w:t>
      </w:r>
      <w:bookmarkEnd w:id="0"/>
    </w:p>
    <w:p>
      <w:pPr>
        <w:pStyle w:val="19"/>
        <w:spacing w:line="360" w:lineRule="auto"/>
        <w:ind w:firstLine="800"/>
      </w:pPr>
      <w:bookmarkStart w:id="1" w:name="_Toc514330878"/>
      <w:r>
        <w:rPr>
          <w:rFonts w:hint="eastAsia"/>
        </w:rPr>
        <w:t>（一）项目概况</w:t>
      </w:r>
      <w:bookmarkEnd w:id="1"/>
    </w:p>
    <w:p>
      <w:pPr>
        <w:pStyle w:val="17"/>
        <w:spacing w:line="360" w:lineRule="auto"/>
        <w:ind w:firstLine="664"/>
      </w:pPr>
      <w:r>
        <w:rPr>
          <w:rFonts w:hint="eastAsia" w:ascii="仿宋_GB2312"/>
        </w:rPr>
        <w:t>1.立</w:t>
      </w:r>
      <w:r>
        <w:rPr>
          <w:rFonts w:hint="eastAsia"/>
        </w:rPr>
        <w:t>项背景及目的</w:t>
      </w:r>
    </w:p>
    <w:p>
      <w:pPr>
        <w:pStyle w:val="17"/>
        <w:spacing w:line="360" w:lineRule="auto"/>
        <w:ind w:firstLine="664"/>
        <w:rPr>
          <w:rFonts w:ascii="仿宋_GB2312"/>
        </w:rPr>
      </w:pPr>
      <w:r>
        <w:t>为贯彻落</w:t>
      </w:r>
      <w:r>
        <w:rPr>
          <w:rFonts w:hint="eastAsia" w:ascii="仿宋_GB2312"/>
        </w:rPr>
        <w:t>实《中华人民共和国精神卫生法》、《国务院办公厅转发中央综治办等部门关于加强肇事肇祸等严重精神障碍患者救助工作意见的通知》（国办发〔2013〕68号）、《省政府办公厅转发省综治办等部门关于加强肇事肇祸等严重精神障碍患者救助救治工作实施意见》（云政办〔2013〕135号）等有关文件精神及中央综治办、省综治办有关通知要求，积极探索引导督促</w:t>
      </w:r>
      <w:r>
        <w:rPr>
          <w:rFonts w:hint="eastAsia" w:ascii="仿宋_GB2312"/>
          <w:lang w:eastAsia="zh-CN"/>
        </w:rPr>
        <w:t>精神障碍患者监护人</w:t>
      </w:r>
      <w:r>
        <w:rPr>
          <w:rFonts w:hint="eastAsia" w:ascii="仿宋_GB2312"/>
        </w:rPr>
        <w:t>落实监护责任的有效途径，通过“以奖代补”等方法，促进</w:t>
      </w:r>
      <w:r>
        <w:rPr>
          <w:rFonts w:hint="eastAsia" w:ascii="仿宋_GB2312"/>
          <w:lang w:eastAsia="zh-CN"/>
        </w:rPr>
        <w:t>精神障碍患者监护人</w:t>
      </w:r>
      <w:r>
        <w:rPr>
          <w:rFonts w:hint="eastAsia" w:ascii="仿宋_GB2312"/>
        </w:rPr>
        <w:t>切实履行监护责任，积极配合治疗并开展康复训练，妥善看护好居家患者，确保不因疏于救治管理而发生危害社会案（事）件发生，加强严重精神障碍患者救助救治工作建立健全政府、社会、家庭“三位一体”关怀帮扶体系，积极开展社会化、综合性、开放式精神疾病治疗康复工作。</w:t>
      </w:r>
    </w:p>
    <w:p>
      <w:pPr>
        <w:pStyle w:val="17"/>
        <w:spacing w:line="360" w:lineRule="auto"/>
        <w:ind w:firstLine="664"/>
        <w:rPr>
          <w:rFonts w:ascii="仿宋_GB2312"/>
        </w:rPr>
      </w:pPr>
      <w:r>
        <w:rPr>
          <w:rFonts w:hint="eastAsia" w:ascii="仿宋_GB2312"/>
        </w:rPr>
        <w:t>2.项目实施情况</w:t>
      </w:r>
    </w:p>
    <w:p>
      <w:pPr>
        <w:pStyle w:val="17"/>
        <w:spacing w:line="360" w:lineRule="auto"/>
        <w:ind w:firstLine="664"/>
        <w:rPr>
          <w:rFonts w:ascii="仿宋_GB2312"/>
        </w:rPr>
      </w:pPr>
      <w:r>
        <w:rPr>
          <w:rFonts w:hint="eastAsia" w:ascii="仿宋_GB2312"/>
        </w:rPr>
        <w:t>各区县“以奖代补”补助项目的申报、审批、兑现奖补、资金管理与监督、随访等工作流程，严格按照《昆明市人民政府办公厅转发市综治办等部门关于落实</w:t>
      </w:r>
      <w:r>
        <w:rPr>
          <w:rFonts w:hint="eastAsia" w:ascii="仿宋_GB2312"/>
          <w:lang w:eastAsia="zh-CN"/>
        </w:rPr>
        <w:t>精神障碍患者监护人</w:t>
      </w:r>
      <w:r>
        <w:rPr>
          <w:rFonts w:hint="eastAsia" w:ascii="仿宋_GB2312"/>
        </w:rPr>
        <w:t>监护责任实施“以奖代补”工作指导意见（试行）的通知》（昆政办〔2015〕165号）的规定（以下简称“工作指导意见”）与要求，经现场县区抽查情况，五华区制定了《昆明市五华区人民政府办公室关于转发五华区落实</w:t>
      </w:r>
      <w:r>
        <w:rPr>
          <w:rFonts w:hint="eastAsia" w:ascii="仿宋_GB2312"/>
          <w:lang w:eastAsia="zh-CN"/>
        </w:rPr>
        <w:t>精神障碍患者监护人</w:t>
      </w:r>
      <w:r>
        <w:rPr>
          <w:rFonts w:hint="eastAsia" w:ascii="仿宋_GB2312"/>
        </w:rPr>
        <w:t>监护责任实施“以奖代补”工作方案的通知》（五政办通〔2016〕7号）、西山区《昆明市西山区卫生和计划生育局关于印发&lt;西山区</w:t>
      </w:r>
      <w:r>
        <w:rPr>
          <w:rFonts w:hint="eastAsia" w:ascii="仿宋_GB2312"/>
          <w:lang w:eastAsia="zh-CN"/>
        </w:rPr>
        <w:t>精神障碍患者监护人</w:t>
      </w:r>
      <w:r>
        <w:rPr>
          <w:rFonts w:hint="eastAsia" w:ascii="仿宋_GB2312"/>
        </w:rPr>
        <w:t>“以奖代补”实施办法&gt;的通知》（西卫通通〔2016〕95号）等文件的要求进行。</w:t>
      </w:r>
    </w:p>
    <w:p>
      <w:pPr>
        <w:pStyle w:val="17"/>
        <w:spacing w:line="360" w:lineRule="auto"/>
        <w:ind w:firstLine="664"/>
        <w:rPr>
          <w:rFonts w:ascii="仿宋_GB2312"/>
        </w:rPr>
      </w:pPr>
      <w:r>
        <w:rPr>
          <w:rFonts w:hint="eastAsia" w:ascii="仿宋_GB2312"/>
        </w:rPr>
        <w:t>3.资金来源及使用情况</w:t>
      </w:r>
    </w:p>
    <w:p>
      <w:pPr>
        <w:pStyle w:val="17"/>
        <w:spacing w:line="360" w:lineRule="auto"/>
        <w:ind w:firstLine="664"/>
        <w:rPr>
          <w:rFonts w:ascii="仿宋_GB2312"/>
        </w:rPr>
      </w:pPr>
      <w:r>
        <w:rPr>
          <w:rFonts w:hint="eastAsia" w:ascii="仿宋_GB2312"/>
        </w:rPr>
        <w:t>（1）项目经费来源</w:t>
      </w:r>
    </w:p>
    <w:p>
      <w:pPr>
        <w:pStyle w:val="17"/>
        <w:spacing w:line="360" w:lineRule="auto"/>
        <w:ind w:firstLine="664"/>
        <w:rPr>
          <w:rFonts w:ascii="仿宋_GB2312"/>
        </w:rPr>
      </w:pPr>
      <w:r>
        <w:rPr>
          <w:rFonts w:hint="eastAsia" w:ascii="仿宋_GB2312"/>
        </w:rPr>
        <w:t>根据《昆明市财政局关于批复201</w:t>
      </w:r>
      <w:r>
        <w:rPr>
          <w:rFonts w:hint="eastAsia" w:ascii="仿宋_GB2312"/>
          <w:lang w:val="en-US" w:eastAsia="zh-CN"/>
        </w:rPr>
        <w:t>8</w:t>
      </w:r>
      <w:r>
        <w:rPr>
          <w:rFonts w:hint="eastAsia" w:ascii="仿宋_GB2312"/>
        </w:rPr>
        <w:t>年部门预算的通知》（昆财行﹝2018﹞1号</w:t>
      </w:r>
      <w:r>
        <w:rPr>
          <w:rFonts w:hint="eastAsia" w:ascii="仿宋_GB2312"/>
          <w:lang w:eastAsia="zh-CN"/>
        </w:rPr>
        <w:t>）</w:t>
      </w:r>
      <w:r>
        <w:rPr>
          <w:rFonts w:hint="eastAsia" w:ascii="仿宋_GB2312"/>
        </w:rPr>
        <w:t>文件201</w:t>
      </w:r>
      <w:r>
        <w:rPr>
          <w:rFonts w:hint="eastAsia" w:ascii="仿宋_GB2312"/>
          <w:lang w:val="en-US" w:eastAsia="zh-CN"/>
        </w:rPr>
        <w:t>8</w:t>
      </w:r>
      <w:r>
        <w:rPr>
          <w:rFonts w:hint="eastAsia" w:ascii="仿宋_GB2312"/>
        </w:rPr>
        <w:t>年精神障碍患者监护责任“以奖代补”市级补助经费项目资金100.00万元。</w:t>
      </w:r>
    </w:p>
    <w:p>
      <w:pPr>
        <w:pStyle w:val="17"/>
        <w:spacing w:line="360" w:lineRule="auto"/>
        <w:ind w:firstLine="664"/>
        <w:rPr>
          <w:rFonts w:ascii="仿宋_GB2312"/>
        </w:rPr>
      </w:pPr>
      <w:r>
        <w:rPr>
          <w:rFonts w:hint="eastAsia" w:ascii="仿宋_GB2312"/>
        </w:rPr>
        <w:t>昆明市财政局每年从市委政法委的市级综治工作经费预算中统筹安排100.00万元专项资金用于“以奖代补”工作，拨付给昆明市卫生和计划生育委员会（以下简称“市卫计委”），根据各县（市）区、开发（度假）园区申报需补助人员情况下达补助资金。各县（市）区、开发（度假）园区卫计委将资金交由县（市）区、开发（度假）园区疾控中心管理、进行发放补助。</w:t>
      </w:r>
    </w:p>
    <w:p>
      <w:pPr>
        <w:pStyle w:val="17"/>
        <w:spacing w:line="360" w:lineRule="auto"/>
        <w:ind w:firstLine="664"/>
        <w:rPr>
          <w:rFonts w:ascii="仿宋_GB2312"/>
        </w:rPr>
      </w:pPr>
      <w:r>
        <w:rPr>
          <w:rFonts w:hint="eastAsia" w:ascii="仿宋_GB2312"/>
        </w:rPr>
        <w:t>（2）项目经费到位情况</w:t>
      </w:r>
    </w:p>
    <w:p>
      <w:pPr>
        <w:pStyle w:val="17"/>
        <w:spacing w:line="360" w:lineRule="auto"/>
        <w:ind w:firstLine="664"/>
        <w:rPr>
          <w:rFonts w:ascii="仿宋_GB2312"/>
        </w:rPr>
      </w:pPr>
      <w:r>
        <w:rPr>
          <w:rFonts w:hint="eastAsia" w:ascii="仿宋_GB2312"/>
        </w:rPr>
        <w:t>截止评价日，精神障碍患者监护责任以奖代补补助市级经费项目资金100.00万元已全部到位，并在201</w:t>
      </w:r>
      <w:r>
        <w:rPr>
          <w:rFonts w:hint="eastAsia" w:ascii="仿宋_GB2312"/>
          <w:lang w:val="en-US" w:eastAsia="zh-CN"/>
        </w:rPr>
        <w:t>8</w:t>
      </w:r>
      <w:r>
        <w:rPr>
          <w:rFonts w:hint="eastAsia" w:ascii="仿宋_GB2312"/>
        </w:rPr>
        <w:t>年度拨付至各县（市）区、开发（度假）园区。</w:t>
      </w:r>
    </w:p>
    <w:p>
      <w:pPr>
        <w:pStyle w:val="17"/>
        <w:spacing w:line="360" w:lineRule="auto"/>
        <w:ind w:firstLine="664"/>
        <w:rPr>
          <w:rFonts w:ascii="仿宋_GB2312"/>
        </w:rPr>
      </w:pPr>
      <w:r>
        <w:rPr>
          <w:rFonts w:hint="eastAsia" w:ascii="仿宋_GB2312"/>
        </w:rPr>
        <w:t>（3）项目经费使用及结余情况</w:t>
      </w:r>
    </w:p>
    <w:p>
      <w:pPr>
        <w:pStyle w:val="17"/>
        <w:spacing w:line="360" w:lineRule="auto"/>
        <w:ind w:firstLine="664"/>
        <w:rPr>
          <w:rFonts w:ascii="仿宋_GB2312"/>
        </w:rPr>
      </w:pPr>
      <w:r>
        <w:rPr>
          <w:rFonts w:hint="eastAsia" w:ascii="仿宋_GB2312"/>
        </w:rPr>
        <w:t>绩效考核组抽取西山区、五华区、盘龙区、官渡区、宜良县、禄劝县进行现场考核，资金使用情况如下：</w:t>
      </w:r>
    </w:p>
    <w:p>
      <w:pPr>
        <w:pStyle w:val="17"/>
        <w:spacing w:line="360" w:lineRule="auto"/>
        <w:ind w:firstLine="664"/>
        <w:rPr>
          <w:rFonts w:ascii="仿宋_GB2312"/>
        </w:rPr>
      </w:pPr>
      <w:r>
        <w:rPr>
          <w:rFonts w:hint="eastAsia" w:ascii="仿宋_GB2312"/>
        </w:rPr>
        <w:t>宜良县卫计局收到</w:t>
      </w:r>
      <w:r>
        <w:rPr>
          <w:rFonts w:hint="eastAsia" w:ascii="仿宋_GB2312"/>
          <w:lang w:eastAsia="zh-CN"/>
        </w:rPr>
        <w:t>2018年精神障碍患者监护人</w:t>
      </w:r>
      <w:r>
        <w:rPr>
          <w:rFonts w:hint="eastAsia" w:ascii="仿宋_GB2312"/>
        </w:rPr>
        <w:t>“以奖代补”市级经费83,798.00元，并按照293元/人的标准将资金分配至各乡镇卫生院，根据提供的宜良县北古城村卫生室兑现</w:t>
      </w:r>
      <w:r>
        <w:rPr>
          <w:rFonts w:hint="eastAsia" w:ascii="仿宋_GB2312"/>
          <w:lang w:eastAsia="zh-CN"/>
        </w:rPr>
        <w:t>2018年</w:t>
      </w:r>
      <w:r>
        <w:rPr>
          <w:rFonts w:hint="eastAsia" w:ascii="仿宋_GB2312"/>
        </w:rPr>
        <w:t>3-5级严重精神障碍患者责任监护人经费发放明细表，领取人领取奖励资金的时间为2018年2月26日。</w:t>
      </w:r>
    </w:p>
    <w:p>
      <w:pPr>
        <w:pStyle w:val="17"/>
        <w:spacing w:line="360" w:lineRule="auto"/>
        <w:ind w:firstLine="664"/>
        <w:rPr>
          <w:rFonts w:ascii="仿宋_GB2312"/>
        </w:rPr>
      </w:pPr>
      <w:r>
        <w:rPr>
          <w:rFonts w:hint="eastAsia" w:ascii="仿宋_GB2312"/>
        </w:rPr>
        <w:t>根据禄劝县政法委提供的情况说明：</w:t>
      </w:r>
      <w:r>
        <w:rPr>
          <w:rFonts w:hint="eastAsia" w:ascii="仿宋_GB2312"/>
          <w:lang w:eastAsia="zh-CN"/>
        </w:rPr>
        <w:t>2018年</w:t>
      </w:r>
      <w:r>
        <w:rPr>
          <w:rFonts w:hint="eastAsia" w:ascii="仿宋_GB2312"/>
        </w:rPr>
        <w:t>12月9日禄劝县财政奖将该项目市级经费162,313.00元下达至县委政法委，由于年终财政关账，该项目资金被结转至2018年，经县委政法委与县财政局对接协商，县财政局于2018年2月5日拨付至县委政法委，县委政法委于2018年4月8日将该项目资金拨付给县卫计局。经考核组2018年5月11至县卫计局现场考核，该项目资金未进行兑付。</w:t>
      </w:r>
    </w:p>
    <w:p>
      <w:pPr>
        <w:pStyle w:val="17"/>
        <w:spacing w:line="360" w:lineRule="auto"/>
        <w:ind w:firstLine="664"/>
        <w:rPr>
          <w:rFonts w:ascii="仿宋_GB2312"/>
        </w:rPr>
      </w:pPr>
      <w:r>
        <w:rPr>
          <w:rFonts w:hint="eastAsia" w:ascii="仿宋_GB2312"/>
        </w:rPr>
        <w:t>西山区卫计局收到</w:t>
      </w:r>
      <w:r>
        <w:rPr>
          <w:rFonts w:hint="eastAsia" w:ascii="仿宋_GB2312"/>
          <w:lang w:eastAsia="zh-CN"/>
        </w:rPr>
        <w:t>2018年精神障碍患者监护人</w:t>
      </w:r>
      <w:r>
        <w:rPr>
          <w:rFonts w:hint="eastAsia" w:ascii="仿宋_GB2312"/>
        </w:rPr>
        <w:t>“以奖代补”市级经费36,625.00元，并按照293元/人的标准将资金分配至各街道办事处，根据提供的各街道办事处兑现</w:t>
      </w:r>
      <w:r>
        <w:rPr>
          <w:rFonts w:hint="eastAsia" w:ascii="仿宋_GB2312"/>
          <w:lang w:eastAsia="zh-CN"/>
        </w:rPr>
        <w:t>2018年</w:t>
      </w:r>
      <w:r>
        <w:rPr>
          <w:rFonts w:hint="eastAsia" w:ascii="仿宋_GB2312"/>
        </w:rPr>
        <w:t>3-5级严重精神障碍患者责任监护人经费发放明细表，领取人领取奖励资金的时间为</w:t>
      </w:r>
      <w:r>
        <w:rPr>
          <w:rFonts w:hint="eastAsia" w:ascii="仿宋_GB2312"/>
          <w:lang w:eastAsia="zh-CN"/>
        </w:rPr>
        <w:t>2018年</w:t>
      </w:r>
      <w:r>
        <w:rPr>
          <w:rFonts w:hint="eastAsia" w:ascii="仿宋_GB2312"/>
        </w:rPr>
        <w:t>10月。</w:t>
      </w:r>
      <w:r>
        <w:rPr>
          <w:rFonts w:hint="eastAsia" w:ascii="仿宋_GB2312"/>
          <w:lang w:eastAsia="zh-CN"/>
        </w:rPr>
        <w:t>2018年</w:t>
      </w:r>
      <w:r>
        <w:rPr>
          <w:rFonts w:hint="eastAsia" w:ascii="仿宋_GB2312"/>
        </w:rPr>
        <w:t>项目资金到达较晚，只能转入2018年发放“以奖代补”时使用。</w:t>
      </w:r>
    </w:p>
    <w:p>
      <w:pPr>
        <w:pStyle w:val="17"/>
        <w:spacing w:line="360" w:lineRule="auto"/>
        <w:ind w:firstLine="664"/>
        <w:rPr>
          <w:rFonts w:ascii="仿宋_GB2312"/>
        </w:rPr>
      </w:pPr>
      <w:r>
        <w:rPr>
          <w:rFonts w:hint="eastAsia" w:ascii="仿宋_GB2312"/>
        </w:rPr>
        <w:t>五华区卫计局收到</w:t>
      </w:r>
      <w:r>
        <w:rPr>
          <w:rFonts w:hint="eastAsia" w:ascii="仿宋_GB2312"/>
          <w:lang w:eastAsia="zh-CN"/>
        </w:rPr>
        <w:t>2018年精神障碍患者监护人</w:t>
      </w:r>
      <w:r>
        <w:rPr>
          <w:rFonts w:hint="eastAsia" w:ascii="仿宋_GB2312"/>
        </w:rPr>
        <w:t>“以奖代补”市级经费70,320.00元，并按照293元/人的标准将资金分配至各街道办事处，根据提供的各街道办事处兑现</w:t>
      </w:r>
      <w:r>
        <w:rPr>
          <w:rFonts w:hint="eastAsia" w:ascii="仿宋_GB2312"/>
          <w:lang w:eastAsia="zh-CN"/>
        </w:rPr>
        <w:t>2018年</w:t>
      </w:r>
      <w:r>
        <w:rPr>
          <w:rFonts w:hint="eastAsia" w:ascii="仿宋_GB2312"/>
        </w:rPr>
        <w:t>3-5级严重精神障碍患者责任监护人经费发放明细表，领取人领取奖励资金的时间为2018年1月。</w:t>
      </w:r>
    </w:p>
    <w:p>
      <w:pPr>
        <w:pStyle w:val="17"/>
        <w:spacing w:line="360" w:lineRule="auto"/>
        <w:ind w:firstLine="664"/>
        <w:rPr>
          <w:rFonts w:ascii="仿宋_GB2312"/>
        </w:rPr>
      </w:pPr>
      <w:r>
        <w:rPr>
          <w:rFonts w:hint="eastAsia" w:ascii="仿宋_GB2312"/>
        </w:rPr>
        <w:t>盘龙区卫计局收到</w:t>
      </w:r>
      <w:r>
        <w:rPr>
          <w:rFonts w:hint="eastAsia" w:ascii="仿宋_GB2312"/>
          <w:lang w:eastAsia="zh-CN"/>
        </w:rPr>
        <w:t>2018年精神障碍患者监护人</w:t>
      </w:r>
      <w:r>
        <w:rPr>
          <w:rFonts w:hint="eastAsia" w:ascii="仿宋_GB2312"/>
        </w:rPr>
        <w:t>“以奖代补”市级经费30,179.00元，并按照293元/人的标准将资金分配至明通社区服务站，并由该服务站负责协调该项目的实施,根据提供的各街道办事处兑现</w:t>
      </w:r>
      <w:r>
        <w:rPr>
          <w:rFonts w:hint="eastAsia" w:ascii="仿宋_GB2312"/>
          <w:lang w:eastAsia="zh-CN"/>
        </w:rPr>
        <w:t>2018年</w:t>
      </w:r>
      <w:r>
        <w:rPr>
          <w:rFonts w:hint="eastAsia" w:ascii="仿宋_GB2312"/>
        </w:rPr>
        <w:t>3-5级严重精神障碍患者责任监护人经费发放明细表，领取人领取奖励资金的时间为2018年1月。</w:t>
      </w:r>
    </w:p>
    <w:p>
      <w:pPr>
        <w:pStyle w:val="17"/>
        <w:spacing w:line="360" w:lineRule="auto"/>
        <w:ind w:firstLine="664"/>
        <w:rPr>
          <w:rFonts w:ascii="仿宋_GB2312"/>
        </w:rPr>
      </w:pPr>
      <w:r>
        <w:rPr>
          <w:rFonts w:hint="eastAsia" w:ascii="仿宋_GB2312"/>
        </w:rPr>
        <w:t>官渡区卫计局收到</w:t>
      </w:r>
      <w:r>
        <w:rPr>
          <w:rFonts w:hint="eastAsia" w:ascii="仿宋_GB2312"/>
          <w:lang w:eastAsia="zh-CN"/>
        </w:rPr>
        <w:t>2018年精神障碍患者监护人</w:t>
      </w:r>
      <w:r>
        <w:rPr>
          <w:rFonts w:hint="eastAsia" w:ascii="仿宋_GB2312"/>
        </w:rPr>
        <w:t>“以奖代补”市级经费47,173.00元，并按照293元/人的标准将资金分配至各街道办事处,根据提供的各街道办事处兑现</w:t>
      </w:r>
      <w:r>
        <w:rPr>
          <w:rFonts w:hint="eastAsia" w:ascii="仿宋_GB2312"/>
          <w:lang w:eastAsia="zh-CN"/>
        </w:rPr>
        <w:t>2018年</w:t>
      </w:r>
      <w:r>
        <w:rPr>
          <w:rFonts w:hint="eastAsia" w:ascii="仿宋_GB2312"/>
        </w:rPr>
        <w:t>3-5级严重精神障碍患者责任监护人经费发放明细表，领取人领取奖励资金的时间为2018年1月。</w:t>
      </w:r>
    </w:p>
    <w:p>
      <w:pPr>
        <w:pStyle w:val="17"/>
        <w:spacing w:line="360" w:lineRule="auto"/>
        <w:ind w:firstLine="664"/>
        <w:rPr>
          <w:rFonts w:ascii="仿宋_GB2312"/>
        </w:rPr>
      </w:pPr>
      <w:r>
        <w:rPr>
          <w:rFonts w:hint="eastAsia" w:ascii="仿宋_GB2312"/>
        </w:rPr>
        <w:t>4.组织及管理情况</w:t>
      </w:r>
    </w:p>
    <w:p>
      <w:pPr>
        <w:pStyle w:val="17"/>
        <w:spacing w:line="360" w:lineRule="auto"/>
        <w:ind w:firstLine="664"/>
        <w:rPr>
          <w:rFonts w:ascii="仿宋_GB2312"/>
        </w:rPr>
      </w:pPr>
      <w:r>
        <w:rPr>
          <w:rFonts w:hint="eastAsia" w:ascii="仿宋_GB2312"/>
        </w:rPr>
        <w:t>（1）项目组织情况</w:t>
      </w:r>
    </w:p>
    <w:p>
      <w:pPr>
        <w:pStyle w:val="17"/>
        <w:spacing w:line="360" w:lineRule="auto"/>
        <w:ind w:firstLine="664"/>
        <w:rPr>
          <w:rFonts w:ascii="仿宋_GB2312"/>
        </w:rPr>
      </w:pPr>
      <w:r>
        <w:rPr>
          <w:rFonts w:hint="eastAsia" w:ascii="仿宋_GB2312"/>
        </w:rPr>
        <w:t>为做好全市</w:t>
      </w:r>
      <w:r>
        <w:rPr>
          <w:rFonts w:hint="eastAsia" w:ascii="仿宋_GB2312"/>
          <w:lang w:eastAsia="zh-CN"/>
        </w:rPr>
        <w:t>精神障碍患者监护人</w:t>
      </w:r>
      <w:r>
        <w:rPr>
          <w:rFonts w:hint="eastAsia" w:ascii="仿宋_GB2312"/>
        </w:rPr>
        <w:t>“以奖代补”项目，昆明市各区县严格按照《工作指导意见》要求，成立了综治部门负责协调部门单位严格落实“以奖代补”工作，同时协调卫生计生部门负责对严重精神障碍患者筛查、诊断和评估，建档立卡，摸清底数；公安机关负责协调相关部门开展严重精神障碍患者的筛查诊断、评估工作；民政部门负责及时认定“五保”、“三无”、低保等人员中的精神障碍患者；人力资源和社会保障部门负责对严重精神障碍患者各类医保补助数据进行统计；财政部门负责将专项工作经费纳入同级财政预算，足额保障并及时拨付卫生计生部门；残联负责组织开展严重精神障碍患者的社会防治康复工作；乡镇（街道）及村（居）委会落实确定患者监护人，在相关部门指导配合下与监护人签订监管责任书，公布“以奖代补”办法及兑现方式，加强日常随访记录，切实督促监护人履行好监护责任。</w:t>
      </w:r>
    </w:p>
    <w:p>
      <w:pPr>
        <w:pStyle w:val="17"/>
        <w:spacing w:line="360" w:lineRule="auto"/>
        <w:ind w:firstLine="664"/>
        <w:rPr>
          <w:rFonts w:ascii="仿宋_GB2312"/>
        </w:rPr>
      </w:pPr>
      <w:r>
        <w:rPr>
          <w:rFonts w:hint="eastAsia" w:ascii="仿宋_GB2312"/>
        </w:rPr>
        <w:t>（2）项目实施流程</w:t>
      </w:r>
    </w:p>
    <w:p>
      <w:pPr>
        <w:pStyle w:val="17"/>
        <w:spacing w:line="360" w:lineRule="auto"/>
        <w:ind w:firstLine="664"/>
        <w:rPr>
          <w:rFonts w:ascii="仿宋_GB2312"/>
        </w:rPr>
      </w:pPr>
      <w:r>
        <w:rPr>
          <w:rFonts w:hint="eastAsia" w:ascii="仿宋_GB2312"/>
        </w:rPr>
        <w:t>①摸清底数，签订监管责任书</w:t>
      </w:r>
    </w:p>
    <w:p>
      <w:pPr>
        <w:pStyle w:val="17"/>
        <w:spacing w:line="360" w:lineRule="auto"/>
        <w:ind w:firstLine="664"/>
        <w:rPr>
          <w:rFonts w:hint="eastAsia" w:ascii="仿宋_GB2312" w:eastAsia="仿宋_GB2312"/>
          <w:lang w:eastAsia="zh-CN"/>
        </w:rPr>
      </w:pPr>
      <w:r>
        <w:rPr>
          <w:rFonts w:hint="eastAsia" w:ascii="仿宋_GB2312"/>
        </w:rPr>
        <w:t>各相关部门对精神障碍患者进行筛查、诊断和评估，摸清底数，全部资料建档立卡，录入数据库，患者档案通报辖区公安部门；对符合条件的严重精神障碍患者，组织核实监护人身份，并与其签订《</w:t>
      </w:r>
      <w:r>
        <w:rPr>
          <w:rFonts w:hint="eastAsia" w:ascii="仿宋_GB2312"/>
          <w:lang w:eastAsia="zh-CN"/>
        </w:rPr>
        <w:t>精神障碍患者监护人</w:t>
      </w:r>
      <w:r>
        <w:rPr>
          <w:rFonts w:hint="eastAsia" w:ascii="仿宋_GB2312"/>
        </w:rPr>
        <w:t>监管责任书》</w:t>
      </w:r>
      <w:r>
        <w:rPr>
          <w:rFonts w:hint="eastAsia" w:ascii="仿宋_GB2312"/>
          <w:lang w:eastAsia="zh-CN"/>
        </w:rPr>
        <w:t>。</w:t>
      </w:r>
    </w:p>
    <w:p>
      <w:pPr>
        <w:pStyle w:val="17"/>
        <w:spacing w:line="360" w:lineRule="auto"/>
        <w:ind w:firstLine="664"/>
        <w:rPr>
          <w:rFonts w:ascii="仿宋_GB2312"/>
        </w:rPr>
      </w:pPr>
      <w:r>
        <w:rPr>
          <w:rFonts w:hint="eastAsia" w:ascii="仿宋_GB2312"/>
        </w:rPr>
        <w:t>②开展对患者的日程管理</w:t>
      </w:r>
    </w:p>
    <w:p>
      <w:pPr>
        <w:pStyle w:val="17"/>
        <w:spacing w:line="360" w:lineRule="auto"/>
        <w:ind w:firstLine="664"/>
        <w:rPr>
          <w:rFonts w:ascii="仿宋_GB2312"/>
        </w:rPr>
      </w:pPr>
      <w:r>
        <w:rPr>
          <w:rFonts w:hint="eastAsia" w:ascii="仿宋_GB2312"/>
        </w:rPr>
        <w:t>各相关部门按照工作职责对患者开展筛查诊断、救助救治、随访关怀等服务工作。</w:t>
      </w:r>
    </w:p>
    <w:p>
      <w:pPr>
        <w:pStyle w:val="17"/>
        <w:spacing w:line="360" w:lineRule="auto"/>
        <w:ind w:firstLine="664"/>
        <w:rPr>
          <w:rFonts w:ascii="仿宋_GB2312"/>
        </w:rPr>
      </w:pPr>
      <w:r>
        <w:rPr>
          <w:rFonts w:hint="eastAsia" w:ascii="仿宋_GB2312"/>
        </w:rPr>
        <w:t>③年终审核</w:t>
      </w:r>
    </w:p>
    <w:p>
      <w:pPr>
        <w:pStyle w:val="17"/>
        <w:spacing w:line="360" w:lineRule="auto"/>
        <w:ind w:firstLine="664"/>
        <w:rPr>
          <w:rFonts w:ascii="仿宋_GB2312"/>
        </w:rPr>
      </w:pPr>
      <w:r>
        <w:rPr>
          <w:rFonts w:hint="eastAsia" w:ascii="仿宋_GB2312"/>
        </w:rPr>
        <w:t>各相关部门于每年11月前对签订市就业中心对《</w:t>
      </w:r>
      <w:r>
        <w:rPr>
          <w:rFonts w:hint="eastAsia" w:ascii="仿宋_GB2312"/>
          <w:lang w:eastAsia="zh-CN"/>
        </w:rPr>
        <w:t>精神障碍患者监护人</w:t>
      </w:r>
      <w:r>
        <w:rPr>
          <w:rFonts w:hint="eastAsia" w:ascii="仿宋_GB2312"/>
        </w:rPr>
        <w:t>监管责任书》的监护人落实监护职责情况进行审核评估，填写“以奖代补”审批表，并将审核情况报卫生计生部门。</w:t>
      </w:r>
    </w:p>
    <w:p>
      <w:pPr>
        <w:pStyle w:val="17"/>
        <w:spacing w:line="360" w:lineRule="auto"/>
        <w:ind w:firstLine="664"/>
        <w:rPr>
          <w:rFonts w:ascii="仿宋_GB2312"/>
        </w:rPr>
      </w:pPr>
      <w:r>
        <w:rPr>
          <w:rFonts w:hint="eastAsia" w:ascii="仿宋_GB2312"/>
        </w:rPr>
        <w:t>④资金拨付</w:t>
      </w:r>
    </w:p>
    <w:p>
      <w:pPr>
        <w:pStyle w:val="17"/>
        <w:spacing w:line="360" w:lineRule="auto"/>
        <w:ind w:firstLine="664"/>
        <w:rPr>
          <w:rFonts w:ascii="仿宋_GB2312"/>
        </w:rPr>
      </w:pPr>
      <w:r>
        <w:rPr>
          <w:rFonts w:hint="eastAsia" w:ascii="仿宋_GB2312"/>
        </w:rPr>
        <w:t>卫生计生部门根据审核情况将“以奖代补”经费逐级下拨兑现至患者监护人。</w:t>
      </w:r>
    </w:p>
    <w:p>
      <w:pPr>
        <w:pStyle w:val="17"/>
        <w:spacing w:line="360" w:lineRule="auto"/>
        <w:ind w:firstLine="664"/>
        <w:rPr>
          <w:rFonts w:ascii="仿宋_GB2312"/>
        </w:rPr>
      </w:pPr>
      <w:r>
        <w:rPr>
          <w:rFonts w:hint="eastAsia" w:ascii="仿宋_GB2312"/>
        </w:rPr>
        <w:t>（3）资金拨付流程</w:t>
      </w:r>
    </w:p>
    <w:p>
      <w:pPr>
        <w:pStyle w:val="17"/>
        <w:spacing w:line="360" w:lineRule="auto"/>
        <w:ind w:firstLine="664"/>
        <w:rPr>
          <w:rFonts w:ascii="仿宋_GB2312"/>
        </w:rPr>
      </w:pPr>
      <w:r>
        <w:rPr>
          <w:rFonts w:hint="eastAsia" w:ascii="仿宋_GB2312"/>
        </w:rPr>
        <w:t>补助类项目资金从市委政法委项目资金中转移支付到各各县（市）区卫计委，各县（市）卫计委逐级发放至个人。</w:t>
      </w:r>
    </w:p>
    <w:p>
      <w:pPr>
        <w:pStyle w:val="19"/>
        <w:spacing w:line="360" w:lineRule="auto"/>
        <w:ind w:firstLine="800"/>
      </w:pPr>
      <w:bookmarkStart w:id="2" w:name="_Toc514330879"/>
      <w:r>
        <w:rPr>
          <w:rFonts w:hint="eastAsia"/>
        </w:rPr>
        <w:t>（二）绩效目标</w:t>
      </w:r>
      <w:bookmarkEnd w:id="2"/>
    </w:p>
    <w:p>
      <w:pPr>
        <w:pStyle w:val="17"/>
        <w:spacing w:line="360" w:lineRule="auto"/>
        <w:ind w:firstLine="664"/>
        <w:rPr>
          <w:rFonts w:ascii="仿宋_GB2312"/>
        </w:rPr>
      </w:pPr>
      <w:bookmarkStart w:id="3" w:name="_Toc513467367"/>
      <w:bookmarkStart w:id="4" w:name="_Toc513467747"/>
      <w:bookmarkStart w:id="5" w:name="_Toc513468822"/>
      <w:bookmarkStart w:id="6" w:name="_Toc513467936"/>
      <w:bookmarkStart w:id="7" w:name="_Toc513468028"/>
      <w:r>
        <w:rPr>
          <w:rFonts w:hint="eastAsia" w:ascii="仿宋_GB2312"/>
        </w:rPr>
        <w:t>1.总目标</w:t>
      </w:r>
      <w:bookmarkEnd w:id="3"/>
      <w:bookmarkEnd w:id="4"/>
      <w:bookmarkEnd w:id="5"/>
      <w:bookmarkEnd w:id="6"/>
      <w:bookmarkEnd w:id="7"/>
    </w:p>
    <w:p>
      <w:pPr>
        <w:pStyle w:val="17"/>
        <w:spacing w:line="360" w:lineRule="auto"/>
        <w:ind w:firstLine="664"/>
        <w:rPr>
          <w:rFonts w:ascii="仿宋_GB2312"/>
        </w:rPr>
      </w:pPr>
      <w:r>
        <w:rPr>
          <w:rFonts w:hint="eastAsia" w:ascii="仿宋_GB2312"/>
        </w:rPr>
        <w:t>通过对</w:t>
      </w:r>
      <w:r>
        <w:rPr>
          <w:rFonts w:hint="eastAsia" w:ascii="仿宋_GB2312" w:hAnsi="宋体" w:cs="仿宋_GB2312"/>
          <w:kern w:val="0"/>
          <w:lang w:eastAsia="zh-CN"/>
        </w:rPr>
        <w:t>精神障碍患者监护人</w:t>
      </w:r>
      <w:r>
        <w:rPr>
          <w:rFonts w:hint="eastAsia" w:ascii="仿宋_GB2312"/>
        </w:rPr>
        <w:t>进行奖励，促进其切实履行监护责任，积极配合治疗并开展康复训练，妥善看护好家居患者，确保不因疏于救治和监护而发生危害社会案（事）件发生。</w:t>
      </w:r>
    </w:p>
    <w:p>
      <w:pPr>
        <w:pStyle w:val="17"/>
        <w:spacing w:line="360" w:lineRule="auto"/>
        <w:ind w:firstLine="664"/>
        <w:rPr>
          <w:rFonts w:ascii="仿宋_GB2312"/>
        </w:rPr>
      </w:pPr>
      <w:r>
        <w:rPr>
          <w:rFonts w:hint="eastAsia" w:ascii="仿宋_GB2312"/>
        </w:rPr>
        <w:t>2.年度目标</w:t>
      </w:r>
    </w:p>
    <w:p>
      <w:pPr>
        <w:pStyle w:val="17"/>
        <w:spacing w:line="360" w:lineRule="auto"/>
        <w:ind w:firstLine="664"/>
      </w:pPr>
      <w:r>
        <w:rPr>
          <w:rFonts w:hint="eastAsia" w:ascii="仿宋_GB2312"/>
        </w:rPr>
        <w:t>对</w:t>
      </w:r>
      <w:r>
        <w:rPr>
          <w:rFonts w:hint="eastAsia" w:ascii="仿宋_GB2312"/>
          <w:lang w:eastAsia="zh-CN"/>
        </w:rPr>
        <w:t>2018年</w:t>
      </w:r>
      <w:r>
        <w:rPr>
          <w:rFonts w:hint="eastAsia" w:ascii="仿宋_GB2312"/>
        </w:rPr>
        <w:t>审批的3409位</w:t>
      </w:r>
      <w:r>
        <w:rPr>
          <w:rFonts w:hint="eastAsia" w:ascii="仿宋_GB2312"/>
          <w:lang w:eastAsia="zh-CN"/>
        </w:rPr>
        <w:t>精神障碍患者监护人</w:t>
      </w:r>
      <w:r>
        <w:rPr>
          <w:rFonts w:hint="eastAsia" w:ascii="仿宋_GB2312"/>
        </w:rPr>
        <w:t>以奖代补兑现相应的市级奖励资金100.00万</w:t>
      </w:r>
      <w:r>
        <w:rPr>
          <w:rFonts w:hint="eastAsia"/>
        </w:rPr>
        <w:t>元。</w:t>
      </w:r>
    </w:p>
    <w:p>
      <w:pPr>
        <w:pStyle w:val="22"/>
        <w:spacing w:line="360" w:lineRule="auto"/>
      </w:pPr>
      <w:bookmarkStart w:id="8" w:name="_Toc514330880"/>
      <w:r>
        <w:rPr>
          <w:rFonts w:hint="eastAsia"/>
        </w:rPr>
        <w:t>二、绩效评价工作情况</w:t>
      </w:r>
      <w:bookmarkEnd w:id="8"/>
    </w:p>
    <w:p>
      <w:pPr>
        <w:pStyle w:val="17"/>
        <w:spacing w:line="360" w:lineRule="auto"/>
        <w:ind w:firstLine="664"/>
      </w:pPr>
      <w:bookmarkStart w:id="9" w:name="_Toc514330881"/>
      <w:r>
        <w:rPr>
          <w:rStyle w:val="20"/>
          <w:rFonts w:hint="eastAsia"/>
        </w:rPr>
        <w:t>（一）绩效评价目的</w:t>
      </w:r>
      <w:bookmarkEnd w:id="9"/>
    </w:p>
    <w:p>
      <w:pPr>
        <w:pStyle w:val="17"/>
        <w:spacing w:line="360" w:lineRule="auto"/>
        <w:ind w:firstLine="664"/>
      </w:pPr>
      <w:r>
        <w:rPr>
          <w:rFonts w:hint="eastAsia"/>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topLinePunct/>
        <w:spacing w:line="360" w:lineRule="auto"/>
        <w:ind w:firstLine="800" w:firstLineChars="250"/>
        <w:rPr>
          <w:rFonts w:ascii="楷体" w:hAnsi="楷体" w:eastAsia="楷体"/>
          <w:szCs w:val="32"/>
        </w:rPr>
      </w:pPr>
      <w:bookmarkStart w:id="10" w:name="_Toc514330882"/>
      <w:r>
        <w:rPr>
          <w:rStyle w:val="20"/>
          <w:rFonts w:hint="eastAsia"/>
        </w:rPr>
        <w:t>（二）绩效评价工作方案制定过程</w:t>
      </w:r>
      <w:bookmarkEnd w:id="10"/>
    </w:p>
    <w:p>
      <w:pPr>
        <w:pStyle w:val="17"/>
        <w:spacing w:line="360" w:lineRule="auto"/>
        <w:ind w:firstLine="664"/>
        <w:rPr>
          <w:rFonts w:ascii="仿宋_GB2312"/>
        </w:rPr>
      </w:pPr>
      <w:r>
        <w:rPr>
          <w:rFonts w:hint="eastAsia" w:ascii="仿宋_GB2312"/>
        </w:rPr>
        <w:t>1.前期调研。</w:t>
      </w:r>
    </w:p>
    <w:p>
      <w:pPr>
        <w:pStyle w:val="17"/>
        <w:spacing w:line="360" w:lineRule="auto"/>
        <w:ind w:firstLine="664"/>
        <w:rPr>
          <w:rFonts w:ascii="仿宋_GB2312"/>
        </w:rPr>
      </w:pPr>
      <w:r>
        <w:rPr>
          <w:rFonts w:hint="eastAsia" w:ascii="仿宋_GB2312"/>
        </w:rPr>
        <w:t>根据绩效评价的基本原理、原则和项目特点，结合绩效目标，由项目组按照逻辑分析法独立研制科学的指标体系，并科学设计满意度问卷，对管理人员进行访谈。在绩效评价设计过程中，广泛地收集和分析了项目的相关资料、相关政策文件，并对项目进行了前期调研。</w:t>
      </w:r>
    </w:p>
    <w:p>
      <w:pPr>
        <w:pStyle w:val="17"/>
        <w:spacing w:line="360" w:lineRule="auto"/>
        <w:ind w:firstLine="664"/>
        <w:rPr>
          <w:rFonts w:ascii="仿宋_GB2312"/>
        </w:rPr>
      </w:pPr>
      <w:r>
        <w:rPr>
          <w:rFonts w:hint="eastAsia" w:ascii="仿宋_GB2312"/>
        </w:rPr>
        <w:t>2.研究文件。</w:t>
      </w:r>
    </w:p>
    <w:p>
      <w:pPr>
        <w:pStyle w:val="17"/>
        <w:spacing w:line="360" w:lineRule="auto"/>
        <w:ind w:firstLine="664"/>
        <w:rPr>
          <w:rFonts w:ascii="仿宋_GB2312"/>
        </w:rPr>
      </w:pPr>
      <w:r>
        <w:rPr>
          <w:rFonts w:hint="eastAsia" w:ascii="仿宋_GB2312"/>
        </w:rPr>
        <w:t>（1）《中华人民共和国预算法》；</w:t>
      </w:r>
    </w:p>
    <w:p>
      <w:pPr>
        <w:pStyle w:val="17"/>
        <w:spacing w:line="360" w:lineRule="auto"/>
        <w:ind w:firstLine="664"/>
        <w:rPr>
          <w:rFonts w:ascii="仿宋_GB2312"/>
        </w:rPr>
      </w:pPr>
      <w:r>
        <w:rPr>
          <w:rFonts w:hint="eastAsia" w:ascii="仿宋_GB2312"/>
        </w:rPr>
        <w:t>（2）财政部《财政支出绩效评价管理暂行办法》（财预〔2011〕285号）；</w:t>
      </w:r>
    </w:p>
    <w:p>
      <w:pPr>
        <w:pStyle w:val="17"/>
        <w:spacing w:line="360" w:lineRule="auto"/>
        <w:ind w:firstLine="664"/>
        <w:rPr>
          <w:rFonts w:ascii="仿宋_GB2312"/>
        </w:rPr>
      </w:pPr>
      <w:r>
        <w:rPr>
          <w:rFonts w:hint="eastAsia" w:ascii="仿宋_GB2312"/>
        </w:rPr>
        <w:t>（3）财政部《关于推进预算绩效管理的意见》（财预〔2011〕416号）；</w:t>
      </w:r>
    </w:p>
    <w:p>
      <w:pPr>
        <w:pStyle w:val="17"/>
        <w:spacing w:line="360" w:lineRule="auto"/>
        <w:ind w:firstLine="664"/>
        <w:rPr>
          <w:rFonts w:ascii="仿宋_GB2312"/>
        </w:rPr>
      </w:pPr>
      <w:r>
        <w:rPr>
          <w:rFonts w:hint="eastAsia" w:ascii="仿宋_GB2312"/>
        </w:rPr>
        <w:t>（4）《关于印发云南省省级财政支出预算绩效评价操作规程（试行）的通知》（云财评审〔2016〕39号）；</w:t>
      </w:r>
    </w:p>
    <w:p>
      <w:pPr>
        <w:pStyle w:val="17"/>
        <w:spacing w:line="360" w:lineRule="auto"/>
        <w:ind w:firstLine="664"/>
        <w:rPr>
          <w:rFonts w:hint="eastAsia" w:ascii="仿宋_GB2312"/>
        </w:rPr>
      </w:pPr>
      <w:r>
        <w:rPr>
          <w:rFonts w:hint="eastAsia" w:ascii="仿宋_GB2312"/>
          <w:lang w:eastAsia="zh-CN"/>
        </w:rPr>
        <w:t>（</w:t>
      </w:r>
      <w:r>
        <w:rPr>
          <w:rFonts w:hint="eastAsia" w:ascii="仿宋_GB2312"/>
          <w:lang w:val="en-US" w:eastAsia="zh-CN"/>
        </w:rPr>
        <w:t>5</w:t>
      </w:r>
      <w:r>
        <w:rPr>
          <w:rFonts w:hint="eastAsia" w:ascii="仿宋_GB2312"/>
          <w:lang w:eastAsia="zh-CN"/>
        </w:rPr>
        <w:t>）</w:t>
      </w:r>
      <w:r>
        <w:rPr>
          <w:rFonts w:hint="eastAsia" w:ascii="仿宋_GB2312"/>
        </w:rPr>
        <w:t>《昆明市财政局关于开展</w:t>
      </w:r>
      <w:r>
        <w:rPr>
          <w:rFonts w:hint="eastAsia" w:ascii="仿宋_GB2312"/>
          <w:lang w:eastAsia="zh-CN"/>
        </w:rPr>
        <w:t>201</w:t>
      </w:r>
      <w:r>
        <w:rPr>
          <w:rFonts w:hint="eastAsia" w:ascii="仿宋_GB2312"/>
          <w:lang w:val="en-US" w:eastAsia="zh-CN"/>
        </w:rPr>
        <w:t>7</w:t>
      </w:r>
      <w:r>
        <w:rPr>
          <w:rFonts w:hint="eastAsia" w:ascii="仿宋_GB2312"/>
          <w:lang w:eastAsia="zh-CN"/>
        </w:rPr>
        <w:t>年</w:t>
      </w:r>
      <w:r>
        <w:rPr>
          <w:rFonts w:hint="eastAsia" w:ascii="仿宋_GB2312"/>
        </w:rPr>
        <w:t>度市本级预算支出绩效自评工作的通知》（昆财绩〔2018〕56号）；</w:t>
      </w:r>
    </w:p>
    <w:p>
      <w:pPr>
        <w:pStyle w:val="17"/>
        <w:spacing w:line="360" w:lineRule="auto"/>
        <w:ind w:firstLine="664"/>
        <w:rPr>
          <w:rFonts w:ascii="仿宋_GB2312"/>
        </w:rPr>
      </w:pPr>
      <w:r>
        <w:rPr>
          <w:rFonts w:hint="eastAsia" w:ascii="仿宋_GB2312"/>
        </w:rPr>
        <w:t>（6）《省政府办公厅转发省综治办等部门关于加强肇事肇祸等严重精神障碍患者救助救治工作实施意见》（云政办〔2013〕135号）；</w:t>
      </w:r>
    </w:p>
    <w:p>
      <w:pPr>
        <w:pStyle w:val="17"/>
        <w:spacing w:line="360" w:lineRule="auto"/>
        <w:ind w:firstLine="664"/>
        <w:rPr>
          <w:rFonts w:ascii="仿宋_GB2312"/>
        </w:rPr>
      </w:pPr>
      <w:r>
        <w:rPr>
          <w:rFonts w:hint="eastAsia" w:ascii="仿宋_GB2312"/>
        </w:rPr>
        <w:t>（7）《昆明市人民政府办公厅转发市综治办等部门关于落实</w:t>
      </w:r>
      <w:r>
        <w:rPr>
          <w:rFonts w:hint="eastAsia" w:ascii="仿宋_GB2312"/>
          <w:lang w:eastAsia="zh-CN"/>
        </w:rPr>
        <w:t>精神障碍患者监护人</w:t>
      </w:r>
      <w:r>
        <w:rPr>
          <w:rFonts w:hint="eastAsia" w:ascii="仿宋_GB2312"/>
        </w:rPr>
        <w:t>监护责任实施“以奖代补”工作指导意见（试行）的通知》（昆政办〔2015〕165号）；</w:t>
      </w:r>
    </w:p>
    <w:p>
      <w:pPr>
        <w:pStyle w:val="17"/>
        <w:spacing w:line="360" w:lineRule="auto"/>
        <w:ind w:firstLine="664"/>
        <w:rPr>
          <w:rFonts w:ascii="仿宋_GB2312"/>
        </w:rPr>
      </w:pPr>
      <w:r>
        <w:rPr>
          <w:rFonts w:hint="eastAsia" w:ascii="仿宋_GB2312"/>
        </w:rPr>
        <w:t>（8）《昆明市财政局关于批复</w:t>
      </w:r>
      <w:r>
        <w:rPr>
          <w:rFonts w:hint="eastAsia" w:ascii="仿宋_GB2312"/>
          <w:lang w:eastAsia="zh-CN"/>
        </w:rPr>
        <w:t>2018年</w:t>
      </w:r>
      <w:r>
        <w:rPr>
          <w:rFonts w:hint="eastAsia" w:ascii="仿宋_GB2312"/>
        </w:rPr>
        <w:t>部门预算的通知》（昆财行〔2017〕17号）；</w:t>
      </w:r>
    </w:p>
    <w:p>
      <w:pPr>
        <w:pStyle w:val="17"/>
        <w:spacing w:line="360" w:lineRule="auto"/>
        <w:ind w:firstLine="664"/>
        <w:rPr>
          <w:rFonts w:ascii="仿宋_GB2312"/>
        </w:rPr>
      </w:pPr>
      <w:r>
        <w:rPr>
          <w:rFonts w:hint="eastAsia" w:ascii="仿宋_GB2312"/>
        </w:rPr>
        <w:t>（9）项目资金文件、决算报告、其他部门相关规章、规范等。</w:t>
      </w:r>
    </w:p>
    <w:p>
      <w:pPr>
        <w:pStyle w:val="17"/>
        <w:spacing w:line="360" w:lineRule="auto"/>
        <w:ind w:firstLine="664"/>
        <w:rPr>
          <w:rFonts w:ascii="仿宋_GB2312"/>
        </w:rPr>
      </w:pPr>
      <w:r>
        <w:rPr>
          <w:rFonts w:hint="eastAsia" w:ascii="仿宋_GB2312"/>
        </w:rPr>
        <w:t>3.绩效评价指标体系及工作方案的设计。</w:t>
      </w:r>
    </w:p>
    <w:p>
      <w:pPr>
        <w:pStyle w:val="17"/>
        <w:spacing w:line="360" w:lineRule="auto"/>
        <w:ind w:firstLine="664"/>
      </w:pPr>
      <w:r>
        <w:rPr>
          <w:rFonts w:hint="eastAsia" w:ascii="仿宋_GB2312"/>
        </w:rPr>
        <w:t>按“少而精”原则，应用逻辑分析法，按绩效指标建设的科学性、可操作性和有用性等三项标准，设计了指标体系。从总体上看，项目决策类指标和项目管理类指标属于共性指标，其他指标为个性指标，反映了绩效评价的内在要求和项目的个性特征。同时，对指标的权重和评分标准进行了设计和研制。权重设计采用了层次分析法设计,标准研制是根据《</w:t>
      </w:r>
      <w:r>
        <w:rPr>
          <w:rFonts w:hint="eastAsia"/>
        </w:rPr>
        <w:t>实施方案》对不同指标设计了不同的评价标准，体现了评价客观性和科学性。</w:t>
      </w:r>
    </w:p>
    <w:p>
      <w:pPr>
        <w:pStyle w:val="19"/>
        <w:spacing w:line="360" w:lineRule="auto"/>
        <w:ind w:firstLine="800"/>
      </w:pPr>
      <w:bookmarkStart w:id="11" w:name="_Toc514330883"/>
      <w:r>
        <w:rPr>
          <w:rFonts w:hint="eastAsia"/>
        </w:rPr>
        <w:t>（三）绩效评价原则、评价方法</w:t>
      </w:r>
      <w:bookmarkEnd w:id="11"/>
    </w:p>
    <w:p>
      <w:pPr>
        <w:pStyle w:val="17"/>
        <w:spacing w:line="360" w:lineRule="auto"/>
        <w:ind w:firstLine="664"/>
        <w:rPr>
          <w:rFonts w:ascii="仿宋_GB2312"/>
        </w:rPr>
      </w:pPr>
      <w:r>
        <w:rPr>
          <w:rFonts w:hint="eastAsia" w:ascii="仿宋_GB2312"/>
        </w:rPr>
        <w:t>（1）价值中立原则</w:t>
      </w:r>
    </w:p>
    <w:p>
      <w:pPr>
        <w:pStyle w:val="17"/>
        <w:spacing w:line="360" w:lineRule="auto"/>
        <w:ind w:firstLine="664"/>
        <w:rPr>
          <w:rFonts w:ascii="仿宋_GB2312"/>
        </w:rPr>
      </w:pPr>
      <w:r>
        <w:rPr>
          <w:rFonts w:hint="eastAsia" w:ascii="仿宋_GB2312"/>
        </w:rPr>
        <w:t>财政支出绩效评价是客观评价，所有用来评价的指标均可量化，所有参与评价的单位和个人都必须遵循评价价值中立原则，即财政支出绩效评价结果，只取决于各单位的工作业绩的客观实际，而不取决于评价人的价值判断和个人意愿。评价结果不会因为评价人价值观念的不一致而有所不同。</w:t>
      </w:r>
    </w:p>
    <w:p>
      <w:pPr>
        <w:pStyle w:val="17"/>
        <w:spacing w:line="360" w:lineRule="auto"/>
        <w:ind w:firstLine="664"/>
        <w:rPr>
          <w:rFonts w:ascii="仿宋_GB2312"/>
        </w:rPr>
      </w:pPr>
      <w:r>
        <w:rPr>
          <w:rFonts w:hint="eastAsia" w:ascii="仿宋_GB2312"/>
        </w:rPr>
        <w:t>（2）公平、公开、公正原则</w:t>
      </w:r>
    </w:p>
    <w:p>
      <w:pPr>
        <w:pStyle w:val="17"/>
        <w:spacing w:line="360" w:lineRule="auto"/>
        <w:ind w:firstLine="664"/>
        <w:rPr>
          <w:rFonts w:ascii="仿宋_GB2312"/>
        </w:rPr>
      </w:pPr>
      <w:r>
        <w:rPr>
          <w:rFonts w:hint="eastAsia" w:ascii="仿宋_GB2312"/>
        </w:rPr>
        <w:t>从评价目标的设计、指标体系的研发及设计、数据填报、复核及专家评议等所有环节，都必须保证评价过程的公开性、程序的规范性和合理性，应及时发现并处理评价过程中的问题，以保证评价结果的准确、客观和科学。</w:t>
      </w:r>
    </w:p>
    <w:p>
      <w:pPr>
        <w:pStyle w:val="17"/>
        <w:spacing w:line="360" w:lineRule="auto"/>
        <w:ind w:firstLine="664"/>
        <w:rPr>
          <w:rFonts w:ascii="仿宋_GB2312"/>
        </w:rPr>
      </w:pPr>
      <w:r>
        <w:rPr>
          <w:rFonts w:hint="eastAsia" w:ascii="仿宋_GB2312"/>
        </w:rPr>
        <w:t>（3）客观性原则</w:t>
      </w:r>
    </w:p>
    <w:p>
      <w:pPr>
        <w:pStyle w:val="17"/>
        <w:spacing w:line="360" w:lineRule="auto"/>
        <w:ind w:firstLine="664"/>
        <w:rPr>
          <w:rFonts w:ascii="仿宋_GB2312"/>
        </w:rPr>
      </w:pPr>
      <w:r>
        <w:rPr>
          <w:rFonts w:hint="eastAsia" w:ascii="仿宋_GB2312"/>
        </w:rPr>
        <w:t>评价以数据为准绳，坚持客观评价。项目组根据填报的数据，在进行汇总、分析、评价的基础上，独立开展评价，得出评价结果，并形成评价报告。</w:t>
      </w:r>
    </w:p>
    <w:p>
      <w:pPr>
        <w:pStyle w:val="17"/>
        <w:spacing w:line="360" w:lineRule="auto"/>
        <w:ind w:firstLine="664"/>
        <w:rPr>
          <w:rFonts w:ascii="仿宋_GB2312"/>
        </w:rPr>
      </w:pPr>
      <w:r>
        <w:rPr>
          <w:rFonts w:hint="eastAsia" w:ascii="仿宋_GB2312"/>
        </w:rPr>
        <w:t>2.绩效评价方法。</w:t>
      </w:r>
    </w:p>
    <w:p>
      <w:pPr>
        <w:pStyle w:val="17"/>
        <w:spacing w:line="360" w:lineRule="auto"/>
        <w:ind w:firstLine="664"/>
        <w:rPr>
          <w:rFonts w:ascii="仿宋_GB2312"/>
        </w:rPr>
      </w:pPr>
      <w:r>
        <w:rPr>
          <w:rFonts w:hint="eastAsia" w:ascii="仿宋_GB2312"/>
        </w:rPr>
        <w:t>本次绩效评价采用定量与定性相结合的方法，对收集的相关基础资料和数据信息，在归集、整理、分析的基础上，运用资料审阅法、实地查勘法、分析比较法、访谈法、公众问卷调查法等，系统、科学的反映拟评价项目综合绩效情况。</w:t>
      </w:r>
    </w:p>
    <w:p>
      <w:pPr>
        <w:pStyle w:val="17"/>
        <w:spacing w:line="360" w:lineRule="auto"/>
        <w:ind w:firstLine="664"/>
        <w:rPr>
          <w:rFonts w:ascii="仿宋_GB2312"/>
          <w:szCs w:val="30"/>
        </w:rPr>
      </w:pPr>
      <w:r>
        <w:rPr>
          <w:rFonts w:hint="eastAsia" w:ascii="仿宋_GB2312"/>
          <w:szCs w:val="30"/>
        </w:rPr>
        <w:t>（1）审阅资料</w:t>
      </w:r>
    </w:p>
    <w:p>
      <w:pPr>
        <w:pStyle w:val="17"/>
        <w:spacing w:line="360" w:lineRule="auto"/>
        <w:ind w:firstLine="664"/>
      </w:pPr>
      <w:r>
        <w:rPr>
          <w:rFonts w:hint="eastAsia" w:ascii="仿宋_GB2312"/>
        </w:rPr>
        <w:t>通过</w:t>
      </w:r>
      <w:r>
        <w:rPr>
          <w:rFonts w:hint="eastAsia"/>
        </w:rPr>
        <w:t>对项目实施单位提供的资料进行审阅，详细查阅被评价项目有关立项申报等文件及报表等资料，了解项目管理情况、资金管理情况，可以要求被评价单位和相关人员做出必要的说明，对需要非现场调查的问题做好记录。</w:t>
      </w:r>
    </w:p>
    <w:p>
      <w:pPr>
        <w:pStyle w:val="17"/>
        <w:spacing w:line="360" w:lineRule="auto"/>
        <w:ind w:firstLine="664"/>
      </w:pPr>
      <w:r>
        <w:rPr>
          <w:rFonts w:hint="eastAsia"/>
        </w:rPr>
        <w:t>查阅会计凭证、会计账簿等，检查资金到位情况，资金拨付、支出情况，相关会计制度执行情况，是否存在违规现象，对预算执行情况、资金拨付执行情况、资金使用规范情况、主要项目内容完成情况进行检查。</w:t>
      </w:r>
    </w:p>
    <w:p>
      <w:pPr>
        <w:pStyle w:val="17"/>
        <w:spacing w:line="360" w:lineRule="auto"/>
        <w:ind w:firstLine="664"/>
        <w:rPr>
          <w:szCs w:val="30"/>
        </w:rPr>
      </w:pPr>
      <w:r>
        <w:rPr>
          <w:rFonts w:hint="eastAsia" w:ascii="仿宋_GB2312"/>
          <w:szCs w:val="30"/>
        </w:rPr>
        <w:t>（2）比</w:t>
      </w:r>
      <w:r>
        <w:rPr>
          <w:rFonts w:hint="eastAsia"/>
          <w:szCs w:val="30"/>
        </w:rPr>
        <w:t>较分析法</w:t>
      </w:r>
    </w:p>
    <w:p>
      <w:pPr>
        <w:pStyle w:val="17"/>
        <w:spacing w:line="360" w:lineRule="auto"/>
        <w:ind w:firstLine="664"/>
      </w:pPr>
      <w:r>
        <w:rPr>
          <w:rFonts w:hint="eastAsia"/>
        </w:rPr>
        <w:t>依据下达的投资预算，对照项目实际完成内容，评价实际实施内容与批复预算的完成等情况；依据相关政策文件，评价项目是否按照项目管理办法等文件执行；依据项目资金计划文件和凭证，评价项目资金下拨、到位及使用等情况；将项目绩效目标与实施结果对比分析，判断项目目标的实现情况；将项目预期的效益与实施效果数据进行对比分析，结合开展问卷调查，评价项目预期效益实现程度。</w:t>
      </w:r>
    </w:p>
    <w:p>
      <w:pPr>
        <w:pStyle w:val="17"/>
        <w:spacing w:line="360" w:lineRule="auto"/>
        <w:ind w:firstLine="664"/>
        <w:rPr>
          <w:rFonts w:ascii="仿宋_GB2312"/>
          <w:szCs w:val="30"/>
        </w:rPr>
      </w:pPr>
      <w:r>
        <w:rPr>
          <w:rFonts w:hint="eastAsia" w:ascii="仿宋_GB2312"/>
          <w:szCs w:val="30"/>
        </w:rPr>
        <w:t>（3）实地考察法</w:t>
      </w:r>
    </w:p>
    <w:p>
      <w:pPr>
        <w:pStyle w:val="17"/>
        <w:spacing w:line="360" w:lineRule="auto"/>
        <w:ind w:firstLine="664"/>
        <w:rPr>
          <w:rStyle w:val="20"/>
          <w:rFonts w:ascii="Times New Roman" w:hAnsi="Times New Roman" w:eastAsia="仿宋_GB2312"/>
        </w:rPr>
      </w:pPr>
      <w:r>
        <w:rPr>
          <w:rFonts w:hint="eastAsia" w:ascii="仿宋_GB2312"/>
        </w:rPr>
        <w:t>通过实地</w:t>
      </w:r>
      <w:r>
        <w:rPr>
          <w:rFonts w:hint="eastAsia"/>
        </w:rPr>
        <w:t>抽样，对照项目实施办法、资金管理制度等相关文件要求，对项目实施情况进行现场实地查看，根据项目实际实施内容和标准开展实地评价</w:t>
      </w:r>
      <w:r>
        <w:rPr>
          <w:rStyle w:val="20"/>
          <w:rFonts w:hint="eastAsia" w:ascii="Times New Roman" w:hAnsi="Times New Roman" w:eastAsia="仿宋_GB2312"/>
        </w:rPr>
        <w:t>。</w:t>
      </w:r>
    </w:p>
    <w:p>
      <w:pPr>
        <w:pStyle w:val="19"/>
        <w:spacing w:line="360" w:lineRule="auto"/>
        <w:ind w:firstLine="800"/>
      </w:pPr>
      <w:bookmarkStart w:id="12" w:name="_Toc514330884"/>
      <w:r>
        <w:rPr>
          <w:rFonts w:hint="eastAsia"/>
        </w:rPr>
        <w:t>（四）绩效评价实施过程</w:t>
      </w:r>
      <w:bookmarkEnd w:id="12"/>
      <w:bookmarkStart w:id="22" w:name="_GoBack"/>
      <w:bookmarkEnd w:id="22"/>
    </w:p>
    <w:p>
      <w:pPr>
        <w:pStyle w:val="17"/>
        <w:spacing w:line="360" w:lineRule="auto"/>
        <w:ind w:firstLine="664"/>
        <w:rPr>
          <w:rFonts w:ascii="仿宋_GB2312"/>
        </w:rPr>
      </w:pPr>
      <w:r>
        <w:rPr>
          <w:rFonts w:hint="eastAsia" w:ascii="仿宋_GB2312"/>
        </w:rPr>
        <w:t>1.数据填报和采集。</w:t>
      </w:r>
    </w:p>
    <w:p>
      <w:pPr>
        <w:pStyle w:val="17"/>
        <w:spacing w:line="360" w:lineRule="auto"/>
        <w:ind w:firstLine="664"/>
        <w:rPr>
          <w:rFonts w:ascii="仿宋_GB2312"/>
        </w:rPr>
      </w:pPr>
      <w:r>
        <w:rPr>
          <w:rFonts w:hint="eastAsia" w:ascii="仿宋_GB2312"/>
        </w:rPr>
        <w:t>本次绩效评价数据包括定性和定量两种数据，定性数据主要通过实地考察、面对面访谈，问卷调研等社会调查的方式来采集。</w:t>
      </w:r>
    </w:p>
    <w:p>
      <w:pPr>
        <w:pStyle w:val="17"/>
        <w:spacing w:line="360" w:lineRule="auto"/>
        <w:ind w:firstLine="664"/>
        <w:rPr>
          <w:rFonts w:ascii="仿宋_GB2312"/>
        </w:rPr>
      </w:pPr>
      <w:r>
        <w:rPr>
          <w:rFonts w:hint="eastAsia" w:ascii="仿宋_GB2312"/>
        </w:rPr>
        <w:t>以市政法委提交的项目资料为基础，对各个具体实施单位提供的资料进行核实、复核及初步分析，设置符合项目特点的绩效评价指标体系，对项目具体实施内容、情况和效果进行评价；在现场和非现场评价的基础上，运用相关绩效评价方法对绩效情况进行综合分析，通过对项目进行现场勘察、项目实施单位访谈、专题调查会、群众满意度调查等方式从多个方面了解项目的真实情况后，初步形成评价结论；通过与市政法委反复沟通和讨论，完善绩效评价报告内容。</w:t>
      </w:r>
    </w:p>
    <w:p>
      <w:pPr>
        <w:pStyle w:val="17"/>
        <w:spacing w:line="360" w:lineRule="auto"/>
        <w:ind w:firstLine="664"/>
      </w:pPr>
      <w:r>
        <w:rPr>
          <w:rFonts w:hint="eastAsia" w:ascii="仿宋_GB2312"/>
        </w:rPr>
        <w:t>2.社会</w:t>
      </w:r>
      <w:r>
        <w:rPr>
          <w:rFonts w:hint="eastAsia"/>
        </w:rPr>
        <w:t>调查。</w:t>
      </w:r>
    </w:p>
    <w:p>
      <w:pPr>
        <w:pStyle w:val="17"/>
        <w:spacing w:line="360" w:lineRule="auto"/>
        <w:ind w:firstLine="664"/>
        <w:rPr>
          <w:rFonts w:ascii="仿宋_GB2312"/>
          <w:color w:val="FF0000"/>
        </w:rPr>
      </w:pPr>
      <w:r>
        <w:rPr>
          <w:rFonts w:hint="eastAsia"/>
        </w:rPr>
        <w:t>绩效评价组根据项目实施情况，围绕着政策知晓情况、项目实施情况、群众受益情况及群众满意度等维度对抽查县（区）受益群众进行社会调查，汇总调查结果并对结果</w:t>
      </w:r>
      <w:r>
        <w:rPr>
          <w:rFonts w:hint="eastAsia" w:ascii="仿宋_GB2312"/>
        </w:rPr>
        <w:t>进行相应分析。</w:t>
      </w:r>
    </w:p>
    <w:p>
      <w:pPr>
        <w:pStyle w:val="17"/>
        <w:spacing w:line="360" w:lineRule="auto"/>
        <w:ind w:firstLine="664"/>
        <w:rPr>
          <w:rFonts w:ascii="仿宋_GB2312"/>
        </w:rPr>
      </w:pPr>
      <w:r>
        <w:rPr>
          <w:rFonts w:hint="eastAsia" w:ascii="仿宋_GB2312"/>
        </w:rPr>
        <w:t>3.数据分析和撰写报告。</w:t>
      </w:r>
    </w:p>
    <w:p>
      <w:pPr>
        <w:pStyle w:val="17"/>
        <w:spacing w:line="360" w:lineRule="auto"/>
        <w:ind w:firstLine="664"/>
      </w:pPr>
      <w:r>
        <w:rPr>
          <w:rFonts w:hint="eastAsia" w:ascii="仿宋_GB2312"/>
        </w:rPr>
        <w:t>项目</w:t>
      </w:r>
      <w:r>
        <w:rPr>
          <w:rFonts w:hint="eastAsia"/>
        </w:rPr>
        <w:t>组根据绩效评价的原理和规范，对采集的数据进行甄别、分析和评分，并提炼结论撰写报告，在规定时间内上报委托方，由委托方对报告进行评审。</w:t>
      </w:r>
    </w:p>
    <w:p>
      <w:pPr>
        <w:pStyle w:val="19"/>
        <w:spacing w:line="360" w:lineRule="auto"/>
        <w:ind w:firstLine="800"/>
      </w:pPr>
      <w:bookmarkStart w:id="13" w:name="_Toc514330885"/>
      <w:r>
        <w:rPr>
          <w:rFonts w:hint="eastAsia"/>
        </w:rPr>
        <w:t>（五）本次绩效评价的局限性</w:t>
      </w:r>
      <w:bookmarkEnd w:id="13"/>
    </w:p>
    <w:p>
      <w:pPr>
        <w:pStyle w:val="17"/>
        <w:spacing w:line="360" w:lineRule="auto"/>
        <w:ind w:firstLine="664"/>
      </w:pPr>
      <w:r>
        <w:t>当前绩效评价还处于起步阶段，国内外都没有完全成熟的路径和经验，因此，还存在一些影响绩效质量的因素：</w:t>
      </w:r>
      <w:r>
        <w:rPr>
          <w:rFonts w:hint="eastAsia"/>
        </w:rPr>
        <w:t>严重精神患者及其监护人为敏感人群，其监护人对其个人隐私较注意，思想压力等不愿接受帮助，也较难救助满意度进行考核。且该项目部分资料涉密，对绩效评价的政策开展有局限性。</w:t>
      </w:r>
    </w:p>
    <w:p>
      <w:pPr>
        <w:pStyle w:val="22"/>
        <w:spacing w:line="360" w:lineRule="auto"/>
      </w:pPr>
      <w:bookmarkStart w:id="14" w:name="_Toc514330886"/>
      <w:r>
        <w:rPr>
          <w:rFonts w:hint="eastAsia"/>
        </w:rPr>
        <w:t>三、评价结论和绩效分析</w:t>
      </w:r>
      <w:bookmarkEnd w:id="14"/>
    </w:p>
    <w:p>
      <w:pPr>
        <w:pStyle w:val="19"/>
        <w:spacing w:line="360" w:lineRule="auto"/>
        <w:ind w:firstLine="800"/>
      </w:pPr>
      <w:bookmarkStart w:id="15" w:name="_Toc514330887"/>
      <w:r>
        <w:rPr>
          <w:rFonts w:hint="eastAsia"/>
        </w:rPr>
        <w:t>（一）评价结论</w:t>
      </w:r>
      <w:bookmarkEnd w:id="15"/>
    </w:p>
    <w:p>
      <w:pPr>
        <w:pStyle w:val="17"/>
        <w:spacing w:line="360" w:lineRule="auto"/>
        <w:ind w:firstLine="664"/>
        <w:rPr>
          <w:rFonts w:ascii="仿宋_GB2312"/>
        </w:rPr>
      </w:pPr>
      <w:r>
        <w:rPr>
          <w:rFonts w:hint="eastAsia" w:ascii="仿宋_GB2312"/>
        </w:rPr>
        <w:t>1.评价结果</w:t>
      </w:r>
    </w:p>
    <w:p>
      <w:pPr>
        <w:pStyle w:val="17"/>
        <w:spacing w:line="360" w:lineRule="auto"/>
        <w:ind w:firstLine="664"/>
        <w:rPr>
          <w:rFonts w:ascii="仿宋_GB2312"/>
        </w:rPr>
      </w:pPr>
      <w:r>
        <w:rPr>
          <w:rFonts w:hint="eastAsia" w:ascii="仿宋_GB2312"/>
        </w:rPr>
        <w:t>根据制定的绩效指标考评体系，本次绩效考核得分</w:t>
      </w:r>
      <w:r>
        <w:rPr>
          <w:rFonts w:hint="eastAsia" w:ascii="仿宋_GB2312"/>
          <w:lang w:val="en-US" w:eastAsia="zh-CN"/>
        </w:rPr>
        <w:t>92</w:t>
      </w:r>
      <w:r>
        <w:rPr>
          <w:rFonts w:hint="eastAsia" w:ascii="仿宋_GB2312"/>
        </w:rPr>
        <w:t>分，绩效评价结果为</w:t>
      </w:r>
      <w:r>
        <w:rPr>
          <w:rFonts w:hint="eastAsia" w:ascii="仿宋_GB2312"/>
          <w:lang w:eastAsia="zh-CN"/>
        </w:rPr>
        <w:t>优</w:t>
      </w:r>
      <w:r>
        <w:rPr>
          <w:rFonts w:hint="eastAsia" w:ascii="仿宋_GB2312"/>
        </w:rPr>
        <w:t>。</w:t>
      </w:r>
    </w:p>
    <w:p>
      <w:pPr>
        <w:pStyle w:val="17"/>
        <w:spacing w:line="360" w:lineRule="auto"/>
        <w:ind w:firstLine="664"/>
      </w:pPr>
      <w:r>
        <w:rPr>
          <w:rFonts w:hint="eastAsia" w:ascii="仿宋_GB2312"/>
        </w:rPr>
        <w:t>2.主</w:t>
      </w:r>
      <w:r>
        <w:rPr>
          <w:rFonts w:hint="eastAsia"/>
        </w:rPr>
        <w:t>要绩效</w:t>
      </w:r>
    </w:p>
    <w:p>
      <w:pPr>
        <w:pStyle w:val="17"/>
        <w:spacing w:line="360" w:lineRule="auto"/>
        <w:ind w:firstLine="664"/>
      </w:pPr>
      <w:r>
        <w:rPr>
          <w:rFonts w:hint="eastAsia"/>
        </w:rPr>
        <w:t>本项目立项依据充分，项目实施过程中严格按照相关流程进行审批，项目具有明确的补助标准、监督办法和管理办法，项目设定的绩效目</w:t>
      </w:r>
      <w:r>
        <w:rPr>
          <w:rFonts w:hint="eastAsia" w:ascii="仿宋_GB2312"/>
        </w:rPr>
        <w:t>标与事业发展规划相关，完整的反映出预期产出和效果，但部分地区奖励资金发放不及时，如某县财政奖将该项目市级经费162,313.00元下达至县委政法委，由于年终财政关账，该项目资金被结转至2018年，经县委政法委与县财政局对接协商，县财政局于2018年2月5日拨付至县委政法委，县委政法委于2018年4月8日将该项目资金拨付给县卫计局。经考核组2018年5月11至县卫计局现场考核，该项目资金未进行兑付。截至评价日，本次绩效评价抽查的昆明市6个县（区）对审核通过的915位</w:t>
      </w:r>
      <w:r>
        <w:rPr>
          <w:rFonts w:hint="eastAsia" w:ascii="仿宋_GB2312"/>
          <w:lang w:eastAsia="zh-CN"/>
        </w:rPr>
        <w:t>精神障碍患者监护人</w:t>
      </w:r>
      <w:r>
        <w:rPr>
          <w:rFonts w:hint="eastAsia" w:ascii="仿宋_GB2312"/>
        </w:rPr>
        <w:t>兑现了奖励资金，对促进监护人切实履行</w:t>
      </w:r>
      <w:r>
        <w:rPr>
          <w:rFonts w:hint="eastAsia"/>
        </w:rPr>
        <w:t>监护责任，积极配合治疗并开展康复训练，妥善看护好家居患者，确保不因疏于救治和监护而发生危害社会案（事）件发生到了一定的作用。</w:t>
      </w:r>
    </w:p>
    <w:p>
      <w:pPr>
        <w:pStyle w:val="19"/>
        <w:spacing w:line="360" w:lineRule="auto"/>
        <w:ind w:firstLine="800"/>
      </w:pPr>
      <w:bookmarkStart w:id="16" w:name="_Toc514330888"/>
      <w:r>
        <w:rPr>
          <w:rFonts w:hint="eastAsia"/>
        </w:rPr>
        <w:t>（二）具体绩效分析</w:t>
      </w:r>
      <w:bookmarkEnd w:id="16"/>
    </w:p>
    <w:p>
      <w:pPr>
        <w:pStyle w:val="17"/>
        <w:spacing w:line="360" w:lineRule="auto"/>
        <w:ind w:firstLine="664"/>
        <w:rPr>
          <w:rFonts w:ascii="仿宋_GB2312"/>
        </w:rPr>
      </w:pPr>
      <w:r>
        <w:rPr>
          <w:rFonts w:hint="eastAsia" w:ascii="仿宋_GB2312"/>
        </w:rPr>
        <w:t>1.项目决策分析</w:t>
      </w:r>
    </w:p>
    <w:p>
      <w:pPr>
        <w:pStyle w:val="17"/>
        <w:spacing w:line="360" w:lineRule="auto"/>
        <w:ind w:firstLine="664"/>
        <w:rPr>
          <w:rFonts w:ascii="仿宋_GB2312"/>
          <w:highlight w:val="yellow"/>
        </w:rPr>
      </w:pPr>
      <w:r>
        <w:rPr>
          <w:rFonts w:hint="eastAsia" w:ascii="仿宋_GB2312"/>
        </w:rPr>
        <w:t>项目决策包括项目立项和项目目标。该项满分20分，得分20分，得分率100%。</w:t>
      </w:r>
    </w:p>
    <w:p>
      <w:pPr>
        <w:pStyle w:val="17"/>
        <w:spacing w:line="360" w:lineRule="auto"/>
        <w:ind w:firstLine="664"/>
        <w:rPr>
          <w:rFonts w:ascii="仿宋_GB2312"/>
        </w:rPr>
      </w:pPr>
      <w:r>
        <w:rPr>
          <w:rFonts w:hint="eastAsia" w:ascii="仿宋_GB2312"/>
        </w:rPr>
        <w:t>（1）项目立项</w:t>
      </w:r>
    </w:p>
    <w:p>
      <w:pPr>
        <w:pStyle w:val="17"/>
        <w:spacing w:line="360" w:lineRule="auto"/>
        <w:ind w:firstLine="664"/>
        <w:rPr>
          <w:rFonts w:ascii="仿宋_GB2312"/>
          <w:highlight w:val="yellow"/>
        </w:rPr>
      </w:pPr>
      <w:r>
        <w:rPr>
          <w:rFonts w:hint="eastAsia" w:ascii="仿宋_GB2312"/>
        </w:rPr>
        <w:t>项目立项包括与部门中长期规划目标适应性、立项依据充分性和项目立项规范性。该项满分8分，得分为8分，该项目的立项得到了市委市政府的批示，同时与部门职责相关，与部门中长期规划目标匹配，立项程序规范。</w:t>
      </w:r>
    </w:p>
    <w:p>
      <w:pPr>
        <w:pStyle w:val="17"/>
        <w:spacing w:line="360" w:lineRule="auto"/>
        <w:ind w:firstLine="664"/>
        <w:rPr>
          <w:rFonts w:ascii="仿宋_GB2312"/>
        </w:rPr>
      </w:pPr>
      <w:r>
        <w:rPr>
          <w:rFonts w:hint="eastAsia" w:ascii="仿宋_GB2312"/>
        </w:rPr>
        <w:t>（2）项目目标</w:t>
      </w:r>
    </w:p>
    <w:p>
      <w:pPr>
        <w:pStyle w:val="17"/>
        <w:spacing w:line="360" w:lineRule="auto"/>
        <w:ind w:firstLine="664"/>
        <w:rPr>
          <w:rFonts w:ascii="仿宋_GB2312"/>
          <w:highlight w:val="yellow"/>
        </w:rPr>
      </w:pPr>
      <w:r>
        <w:rPr>
          <w:rFonts w:hint="eastAsia" w:ascii="仿宋_GB2312"/>
        </w:rPr>
        <w:t>项目目标包括绩效目标设定的合理性和绩效指标设定的明确性。该项满分12分，得分12分。该项目的绩效目标设定合理，能够完整的反映预期的产出和效果，绩效目标与年度预算,相匹配，指标细化、完整。</w:t>
      </w:r>
    </w:p>
    <w:p>
      <w:pPr>
        <w:pStyle w:val="17"/>
        <w:spacing w:line="360" w:lineRule="auto"/>
        <w:ind w:firstLine="664"/>
        <w:rPr>
          <w:rFonts w:ascii="仿宋_GB2312"/>
        </w:rPr>
      </w:pPr>
      <w:r>
        <w:rPr>
          <w:rFonts w:hint="eastAsia" w:ascii="仿宋_GB2312"/>
        </w:rPr>
        <w:t>2.项目管理分析</w:t>
      </w:r>
    </w:p>
    <w:p>
      <w:pPr>
        <w:pStyle w:val="17"/>
        <w:spacing w:line="360" w:lineRule="auto"/>
        <w:ind w:firstLine="664"/>
        <w:rPr>
          <w:rFonts w:ascii="仿宋_GB2312"/>
          <w:highlight w:val="yellow"/>
        </w:rPr>
      </w:pPr>
      <w:r>
        <w:rPr>
          <w:rFonts w:hint="eastAsia" w:ascii="仿宋_GB2312"/>
        </w:rPr>
        <w:t>项目管理包括投入管理、财务管理和项目实施。该项满分20分，得分</w:t>
      </w:r>
      <w:r>
        <w:rPr>
          <w:rFonts w:hint="eastAsia" w:ascii="仿宋_GB2312"/>
          <w:lang w:val="en-US" w:eastAsia="zh-CN"/>
        </w:rPr>
        <w:t>18</w:t>
      </w:r>
      <w:r>
        <w:rPr>
          <w:rFonts w:hint="eastAsia" w:ascii="仿宋_GB2312"/>
        </w:rPr>
        <w:t>分，得分率</w:t>
      </w:r>
      <w:r>
        <w:rPr>
          <w:rFonts w:hint="eastAsia" w:ascii="仿宋_GB2312"/>
          <w:lang w:val="en-US" w:eastAsia="zh-CN"/>
        </w:rPr>
        <w:t>90</w:t>
      </w:r>
      <w:r>
        <w:rPr>
          <w:rFonts w:hint="eastAsia" w:ascii="仿宋_GB2312"/>
        </w:rPr>
        <w:t>%。</w:t>
      </w:r>
    </w:p>
    <w:p>
      <w:pPr>
        <w:pStyle w:val="17"/>
        <w:spacing w:line="360" w:lineRule="auto"/>
        <w:ind w:firstLine="664"/>
        <w:rPr>
          <w:rFonts w:ascii="仿宋_GB2312"/>
        </w:rPr>
      </w:pPr>
      <w:r>
        <w:rPr>
          <w:rFonts w:hint="eastAsia" w:ascii="仿宋_GB2312"/>
        </w:rPr>
        <w:t>（1）投入管理</w:t>
      </w:r>
    </w:p>
    <w:p>
      <w:pPr>
        <w:pStyle w:val="17"/>
        <w:spacing w:line="360" w:lineRule="auto"/>
        <w:ind w:firstLine="664"/>
        <w:rPr>
          <w:rFonts w:ascii="仿宋_GB2312"/>
          <w:highlight w:val="yellow"/>
        </w:rPr>
      </w:pPr>
      <w:r>
        <w:rPr>
          <w:rFonts w:hint="eastAsia" w:ascii="仿宋_GB2312"/>
        </w:rPr>
        <w:t>投入管理包括预算编制合理性和预算执行率。该项满分4分，得分为</w:t>
      </w:r>
      <w:r>
        <w:rPr>
          <w:rFonts w:hint="eastAsia" w:ascii="仿宋_GB2312"/>
          <w:lang w:val="en-US" w:eastAsia="zh-CN"/>
        </w:rPr>
        <w:t>3</w:t>
      </w:r>
      <w:r>
        <w:rPr>
          <w:rFonts w:hint="eastAsia" w:ascii="仿宋_GB2312"/>
        </w:rPr>
        <w:t>分，截至评价日抽查县（区）共收到市级资金430，408万元，实际完成兑付268，096万元预算执行率为62.28%。</w:t>
      </w:r>
    </w:p>
    <w:p>
      <w:pPr>
        <w:pStyle w:val="17"/>
        <w:spacing w:line="360" w:lineRule="auto"/>
        <w:ind w:firstLine="664"/>
        <w:rPr>
          <w:rFonts w:ascii="仿宋_GB2312"/>
        </w:rPr>
      </w:pPr>
      <w:r>
        <w:rPr>
          <w:rFonts w:hint="eastAsia" w:ascii="仿宋_GB2312"/>
        </w:rPr>
        <w:t>（2）财务管理</w:t>
      </w:r>
    </w:p>
    <w:p>
      <w:pPr>
        <w:pStyle w:val="17"/>
        <w:spacing w:line="360" w:lineRule="auto"/>
        <w:ind w:firstLine="664"/>
        <w:rPr>
          <w:rFonts w:ascii="仿宋_GB2312"/>
        </w:rPr>
      </w:pPr>
      <w:r>
        <w:rPr>
          <w:rFonts w:hint="eastAsia" w:ascii="仿宋_GB2312"/>
        </w:rPr>
        <w:t xml:space="preserve">财务管理包括资金使用情况、财务管理制度健全性和财务监控有效性。该项满分6分，得分为6分，该项目未制定专门的财务管理制度，参照市委政法委相关财务管理制度执行，资金拨付具有完整的审批程序和手续，符合相关制度规定。 </w:t>
      </w:r>
    </w:p>
    <w:p>
      <w:pPr>
        <w:pStyle w:val="17"/>
        <w:spacing w:line="360" w:lineRule="auto"/>
        <w:ind w:firstLine="664"/>
        <w:rPr>
          <w:rFonts w:ascii="仿宋_GB2312"/>
        </w:rPr>
      </w:pPr>
      <w:r>
        <w:rPr>
          <w:rFonts w:hint="eastAsia" w:ascii="仿宋_GB2312"/>
        </w:rPr>
        <w:t>（3）项目实施</w:t>
      </w:r>
    </w:p>
    <w:p>
      <w:pPr>
        <w:pStyle w:val="17"/>
        <w:spacing w:line="360" w:lineRule="auto"/>
        <w:ind w:firstLine="664"/>
        <w:rPr>
          <w:rFonts w:ascii="仿宋_GB2312"/>
        </w:rPr>
      </w:pPr>
      <w:r>
        <w:rPr>
          <w:rFonts w:hint="eastAsia" w:ascii="仿宋_GB2312"/>
        </w:rPr>
        <w:t>项目实施包括项目管理制度健全性和项目管理制度执行有效性。该项满分10分，得分为</w:t>
      </w:r>
      <w:r>
        <w:rPr>
          <w:rFonts w:hint="eastAsia" w:ascii="仿宋_GB2312"/>
          <w:lang w:val="en-US" w:eastAsia="zh-CN"/>
        </w:rPr>
        <w:t>8</w:t>
      </w:r>
      <w:r>
        <w:rPr>
          <w:rFonts w:hint="eastAsia" w:ascii="仿宋_GB2312"/>
        </w:rPr>
        <w:t>分，得分率8</w:t>
      </w:r>
      <w:r>
        <w:rPr>
          <w:rFonts w:hint="eastAsia" w:ascii="仿宋_GB2312"/>
          <w:lang w:val="en-US" w:eastAsia="zh-CN"/>
        </w:rPr>
        <w:t>0</w:t>
      </w:r>
      <w:r>
        <w:rPr>
          <w:rFonts w:hint="eastAsia" w:ascii="仿宋_GB2312"/>
        </w:rPr>
        <w:t>%该项目严格按照《昆明市人民政府办公厅转发市综治办等部门关于落实</w:t>
      </w:r>
      <w:r>
        <w:rPr>
          <w:rFonts w:hint="eastAsia" w:ascii="仿宋_GB2312"/>
          <w:lang w:eastAsia="zh-CN"/>
        </w:rPr>
        <w:t>精神障碍患者监护人</w:t>
      </w:r>
      <w:r>
        <w:rPr>
          <w:rFonts w:hint="eastAsia" w:ascii="仿宋_GB2312"/>
        </w:rPr>
        <w:t>监护责任实施“以奖代补”工作指导意见（试行）的通知》（昆政办〔2015〕165号）对项目进行管理， 项目管理制度健全、监管到位、但部分社区责任书保留在监护人手中，服务中心无相关资料。</w:t>
      </w:r>
    </w:p>
    <w:p>
      <w:pPr>
        <w:pStyle w:val="17"/>
        <w:spacing w:line="360" w:lineRule="auto"/>
        <w:ind w:firstLine="664"/>
        <w:rPr>
          <w:rFonts w:ascii="仿宋_GB2312"/>
        </w:rPr>
      </w:pPr>
      <w:r>
        <w:rPr>
          <w:rFonts w:hint="eastAsia" w:ascii="仿宋_GB2312"/>
        </w:rPr>
        <w:t>3.项目绩效分析</w:t>
      </w:r>
    </w:p>
    <w:p>
      <w:pPr>
        <w:pStyle w:val="17"/>
        <w:spacing w:line="360" w:lineRule="auto"/>
        <w:ind w:firstLine="664"/>
        <w:rPr>
          <w:rFonts w:ascii="仿宋_GB2312"/>
          <w:highlight w:val="yellow"/>
        </w:rPr>
      </w:pPr>
      <w:r>
        <w:rPr>
          <w:rFonts w:hint="eastAsia" w:ascii="仿宋_GB2312"/>
        </w:rPr>
        <w:t>项目绩效包括项目产出和项目效益。该项满分60分，得分</w:t>
      </w:r>
      <w:r>
        <w:rPr>
          <w:rFonts w:hint="eastAsia" w:ascii="仿宋_GB2312"/>
          <w:lang w:val="en-US" w:eastAsia="zh-CN"/>
        </w:rPr>
        <w:t>53.5</w:t>
      </w:r>
      <w:r>
        <w:rPr>
          <w:rFonts w:hint="eastAsia" w:ascii="仿宋_GB2312"/>
        </w:rPr>
        <w:t>分，得分率</w:t>
      </w:r>
      <w:r>
        <w:rPr>
          <w:rFonts w:hint="eastAsia" w:ascii="仿宋_GB2312"/>
          <w:lang w:val="en-US" w:eastAsia="zh-CN"/>
        </w:rPr>
        <w:t>89.17</w:t>
      </w:r>
      <w:r>
        <w:rPr>
          <w:rFonts w:hint="eastAsia" w:ascii="仿宋_GB2312"/>
        </w:rPr>
        <w:t>%。</w:t>
      </w:r>
    </w:p>
    <w:p>
      <w:pPr>
        <w:pStyle w:val="17"/>
        <w:spacing w:line="360" w:lineRule="auto"/>
        <w:ind w:firstLine="664"/>
        <w:rPr>
          <w:rFonts w:ascii="仿宋_GB2312"/>
        </w:rPr>
      </w:pPr>
      <w:r>
        <w:rPr>
          <w:rFonts w:hint="eastAsia" w:ascii="仿宋_GB2312"/>
        </w:rPr>
        <w:t>（1）项目产出</w:t>
      </w:r>
    </w:p>
    <w:p>
      <w:pPr>
        <w:pStyle w:val="17"/>
        <w:spacing w:line="360" w:lineRule="auto"/>
        <w:ind w:firstLine="664"/>
        <w:rPr>
          <w:rFonts w:ascii="仿宋_GB2312"/>
          <w:highlight w:val="yellow"/>
        </w:rPr>
      </w:pPr>
      <w:r>
        <w:rPr>
          <w:rFonts w:hint="eastAsia" w:ascii="仿宋_GB2312"/>
        </w:rPr>
        <w:t>项目产出包括扶持标准合规性、扶持申请程序合规性、自主创业户补助完成率、资金使用率，该项满分</w:t>
      </w:r>
      <w:r>
        <w:rPr>
          <w:rFonts w:hint="eastAsia" w:ascii="仿宋_GB2312"/>
          <w:lang w:val="en-US" w:eastAsia="zh-CN"/>
        </w:rPr>
        <w:t>21</w:t>
      </w:r>
      <w:r>
        <w:rPr>
          <w:rFonts w:hint="eastAsia" w:ascii="仿宋_GB2312"/>
        </w:rPr>
        <w:t>分，得分为</w:t>
      </w:r>
      <w:r>
        <w:rPr>
          <w:rFonts w:hint="eastAsia" w:ascii="仿宋_GB2312"/>
          <w:lang w:val="en-US" w:eastAsia="zh-CN"/>
        </w:rPr>
        <w:t>20</w:t>
      </w:r>
      <w:r>
        <w:rPr>
          <w:rFonts w:hint="eastAsia" w:ascii="仿宋_GB2312"/>
        </w:rPr>
        <w:t>分,得分率</w:t>
      </w:r>
      <w:r>
        <w:rPr>
          <w:rFonts w:hint="eastAsia" w:ascii="仿宋_GB2312"/>
          <w:lang w:val="en-US" w:eastAsia="zh-CN"/>
        </w:rPr>
        <w:t>95</w:t>
      </w:r>
      <w:r>
        <w:rPr>
          <w:rFonts w:hint="eastAsia" w:ascii="仿宋_GB2312"/>
        </w:rPr>
        <w:t>%。</w:t>
      </w:r>
    </w:p>
    <w:p>
      <w:pPr>
        <w:pStyle w:val="17"/>
        <w:spacing w:line="360" w:lineRule="auto"/>
        <w:ind w:firstLine="664"/>
        <w:rPr>
          <w:rFonts w:ascii="仿宋_GB2312"/>
        </w:rPr>
      </w:pPr>
      <w:r>
        <w:rPr>
          <w:rFonts w:hint="eastAsia" w:ascii="仿宋_GB2312"/>
        </w:rPr>
        <w:t>该项目动态筛查评估工作完成情况良好，“以奖代补”工作依相应的程序严格执行，按季度对签订责任书的患者及其监护人进行回访，但部分区（县）且存在资金拨付不及时、资金使用率低等情况。</w:t>
      </w:r>
    </w:p>
    <w:p>
      <w:pPr>
        <w:pStyle w:val="17"/>
        <w:spacing w:line="360" w:lineRule="auto"/>
        <w:ind w:firstLine="664"/>
        <w:rPr>
          <w:rFonts w:ascii="仿宋_GB2312"/>
        </w:rPr>
      </w:pPr>
      <w:r>
        <w:rPr>
          <w:rFonts w:hint="eastAsia" w:ascii="仿宋_GB2312"/>
        </w:rPr>
        <w:t>（2）项目效益</w:t>
      </w:r>
    </w:p>
    <w:p>
      <w:pPr>
        <w:pStyle w:val="17"/>
        <w:spacing w:line="360" w:lineRule="auto"/>
        <w:ind w:firstLine="664"/>
        <w:rPr>
          <w:rFonts w:ascii="仿宋_GB2312"/>
          <w:highlight w:val="yellow"/>
        </w:rPr>
      </w:pPr>
      <w:r>
        <w:rPr>
          <w:rFonts w:hint="eastAsia" w:ascii="仿宋_GB2312"/>
        </w:rPr>
        <w:t>项目效益包括经济效益、社会效益和服务对象满意度，该项满分30分，得分为25.28分,得分率84.27%。</w:t>
      </w:r>
    </w:p>
    <w:p>
      <w:pPr>
        <w:pStyle w:val="17"/>
        <w:spacing w:line="360" w:lineRule="auto"/>
        <w:ind w:firstLine="664"/>
      </w:pPr>
      <w:r>
        <w:rPr>
          <w:rFonts w:hint="eastAsia" w:ascii="仿宋_GB2312"/>
        </w:rPr>
        <w:t>通过发放的调查问卷反馈，受益群众对</w:t>
      </w:r>
      <w:r>
        <w:rPr>
          <w:rFonts w:hint="eastAsia" w:ascii="仿宋_GB2312"/>
          <w:lang w:eastAsia="zh-CN"/>
        </w:rPr>
        <w:t>精神障碍患者监护人</w:t>
      </w:r>
      <w:r>
        <w:rPr>
          <w:rFonts w:hint="eastAsia" w:ascii="仿宋_GB2312"/>
        </w:rPr>
        <w:t>监护责任实施“以奖代补”项目比较满意。但部分区（县）卫生部门无法定期进行上门就诊，奖励资金对监护人</w:t>
      </w:r>
      <w:r>
        <w:rPr>
          <w:rFonts w:hint="eastAsia"/>
        </w:rPr>
        <w:t>和患者的生活和经济方面的压力起到一定作用但作用效果。</w:t>
      </w:r>
    </w:p>
    <w:p>
      <w:pPr>
        <w:pStyle w:val="22"/>
        <w:spacing w:line="360" w:lineRule="auto"/>
      </w:pPr>
      <w:bookmarkStart w:id="17" w:name="_Toc514330889"/>
      <w:r>
        <w:rPr>
          <w:rFonts w:hint="eastAsia"/>
        </w:rPr>
        <w:t>四、成本效益分析</w:t>
      </w:r>
      <w:bookmarkEnd w:id="17"/>
    </w:p>
    <w:p>
      <w:pPr>
        <w:pStyle w:val="17"/>
        <w:spacing w:line="360" w:lineRule="auto"/>
        <w:ind w:firstLine="664"/>
      </w:pPr>
      <w:r>
        <w:rPr>
          <w:rFonts w:hint="eastAsia"/>
        </w:rPr>
        <w:t>根</w:t>
      </w:r>
      <w:r>
        <w:rPr>
          <w:rFonts w:hint="eastAsia" w:ascii="仿宋_GB2312"/>
        </w:rPr>
        <w:t>据《昆明市财政局关于批复</w:t>
      </w:r>
      <w:r>
        <w:rPr>
          <w:rFonts w:hint="eastAsia" w:ascii="仿宋_GB2312"/>
          <w:lang w:eastAsia="zh-CN"/>
        </w:rPr>
        <w:t>2018年</w:t>
      </w:r>
      <w:r>
        <w:rPr>
          <w:rFonts w:hint="eastAsia" w:ascii="仿宋_GB2312"/>
        </w:rPr>
        <w:t>部门预算的通知》（昆财行〔201</w:t>
      </w:r>
      <w:r>
        <w:rPr>
          <w:rFonts w:hint="eastAsia" w:ascii="仿宋_GB2312"/>
          <w:lang w:val="en-US" w:eastAsia="zh-CN"/>
        </w:rPr>
        <w:t>8</w:t>
      </w:r>
      <w:r>
        <w:rPr>
          <w:rFonts w:hint="eastAsia" w:ascii="仿宋_GB2312"/>
        </w:rPr>
        <w:t>〕1号）昆明市</w:t>
      </w:r>
      <w:r>
        <w:rPr>
          <w:rFonts w:hint="eastAsia" w:ascii="仿宋_GB2312"/>
          <w:lang w:eastAsia="zh-CN"/>
        </w:rPr>
        <w:t>2018年</w:t>
      </w:r>
      <w:r>
        <w:rPr>
          <w:rFonts w:hint="eastAsia" w:ascii="仿宋_GB2312"/>
        </w:rPr>
        <w:t>共安排“以奖代补”市级资金100.00万元。截至评价日所有市级资金均已拨付至各区（</w:t>
      </w:r>
      <w:r>
        <w:rPr>
          <w:rFonts w:hint="eastAsia"/>
        </w:rPr>
        <w:t>县），且大部分区（县）已向审批合格的监护人兑现奖励资金，项目的实施促进了监护人其切实履行监护责任，积极配合治疗并开展康复训练，妥善看护好家居患者，确保不因疏于救治和监护而发生危害社会案（事）件发生。</w:t>
      </w:r>
    </w:p>
    <w:p>
      <w:pPr>
        <w:pStyle w:val="22"/>
        <w:spacing w:line="360" w:lineRule="auto"/>
      </w:pPr>
      <w:bookmarkStart w:id="18" w:name="_Toc514330890"/>
      <w:r>
        <w:rPr>
          <w:rFonts w:hint="eastAsia"/>
        </w:rPr>
        <w:t>五、主要经验及做法、存在的问题和建议</w:t>
      </w:r>
      <w:bookmarkEnd w:id="18"/>
    </w:p>
    <w:p>
      <w:pPr>
        <w:pStyle w:val="19"/>
        <w:spacing w:line="360" w:lineRule="auto"/>
        <w:ind w:firstLine="800"/>
      </w:pPr>
      <w:bookmarkStart w:id="19" w:name="_Toc514330891"/>
      <w:r>
        <w:rPr>
          <w:rFonts w:hint="eastAsia"/>
        </w:rPr>
        <w:t>（一）主要经验及做法</w:t>
      </w:r>
      <w:bookmarkEnd w:id="19"/>
    </w:p>
    <w:p>
      <w:pPr>
        <w:pStyle w:val="17"/>
        <w:spacing w:line="360" w:lineRule="auto"/>
        <w:ind w:firstLine="664"/>
        <w:rPr>
          <w:rFonts w:ascii="仿宋_GB2312"/>
        </w:rPr>
      </w:pPr>
      <w:r>
        <w:rPr>
          <w:rFonts w:hint="eastAsia" w:ascii="仿宋_GB2312"/>
        </w:rPr>
        <w:t>1.高度重视对严重精神障碍患者的随访及帮扶工作，督促和护理、康复指导效果明显</w:t>
      </w:r>
      <w:r>
        <w:rPr>
          <w:rFonts w:hint="eastAsia" w:ascii="仿宋_GB2312"/>
          <w:lang w:eastAsia="zh-CN"/>
        </w:rPr>
        <w:t>。</w:t>
      </w:r>
      <w:r>
        <w:rPr>
          <w:rFonts w:hint="eastAsia" w:ascii="仿宋_GB2312"/>
        </w:rPr>
        <w:t>部分区（县）如，官渡区太和街道社区卫生服务中心、小板桥社区卫生服务中心等服务中心认真组织随访工作，记录总结每次随访工作，并将随访工作结果向公安、卫计局等部门登记反馈，在随访工作中做好患者监管教育及时掌握患者情况，敦促患者按时服药，为患者家属提供健康及康复指导，辖区多年未发生精神障碍患者肇事肇祸案件。</w:t>
      </w:r>
    </w:p>
    <w:p>
      <w:pPr>
        <w:pStyle w:val="17"/>
        <w:spacing w:line="360" w:lineRule="auto"/>
        <w:ind w:firstLine="664"/>
        <w:rPr>
          <w:rFonts w:ascii="仿宋_GB2312"/>
        </w:rPr>
      </w:pPr>
      <w:r>
        <w:rPr>
          <w:rFonts w:hint="eastAsia" w:ascii="仿宋_GB2312"/>
        </w:rPr>
        <w:t>2.严格审批程序，确保项目规范</w:t>
      </w:r>
    </w:p>
    <w:p>
      <w:pPr>
        <w:pStyle w:val="17"/>
        <w:spacing w:line="360" w:lineRule="auto"/>
        <w:ind w:firstLine="664"/>
      </w:pPr>
      <w:r>
        <w:rPr>
          <w:rFonts w:hint="eastAsia" w:ascii="仿宋_GB2312"/>
        </w:rPr>
        <w:t>五华</w:t>
      </w:r>
      <w:r>
        <w:rPr>
          <w:rFonts w:hint="eastAsia"/>
        </w:rPr>
        <w:t>区卫计局严格按实施细则核查“以奖代补”审批表，对于患者危险性评估等级等条件不符合奖励规定的及时取消其奖励资格，确保项目实施的规范性和奖励资金的安全性。</w:t>
      </w:r>
    </w:p>
    <w:p>
      <w:pPr>
        <w:pStyle w:val="19"/>
        <w:spacing w:line="360" w:lineRule="auto"/>
        <w:ind w:firstLine="800"/>
      </w:pPr>
      <w:bookmarkStart w:id="20" w:name="_Toc514330892"/>
      <w:r>
        <w:rPr>
          <w:rFonts w:hint="eastAsia"/>
        </w:rPr>
        <w:t>（二）存在的问题</w:t>
      </w:r>
      <w:bookmarkEnd w:id="20"/>
    </w:p>
    <w:p>
      <w:pPr>
        <w:pStyle w:val="17"/>
        <w:spacing w:line="360" w:lineRule="auto"/>
        <w:ind w:firstLine="664"/>
        <w:rPr>
          <w:rFonts w:ascii="仿宋_GB2312"/>
        </w:rPr>
      </w:pPr>
      <w:r>
        <w:rPr>
          <w:rFonts w:hint="eastAsia" w:ascii="仿宋_GB2312"/>
        </w:rPr>
        <w:t>1.资金到位不及时，影响补助资金的发放</w:t>
      </w:r>
    </w:p>
    <w:p>
      <w:pPr>
        <w:pStyle w:val="17"/>
        <w:spacing w:line="360" w:lineRule="auto"/>
        <w:ind w:firstLine="664"/>
        <w:rPr>
          <w:rFonts w:ascii="仿宋_GB2312"/>
        </w:rPr>
      </w:pPr>
      <w:r>
        <w:rPr>
          <w:rFonts w:hint="eastAsia" w:ascii="仿宋_GB2312"/>
        </w:rPr>
        <w:t>个别区（县）配套资未及时到位，影响市级配套资金使用效率</w:t>
      </w:r>
      <w:r>
        <w:rPr>
          <w:rFonts w:hint="eastAsia" w:ascii="仿宋_GB2312"/>
          <w:lang w:eastAsia="zh-CN"/>
        </w:rPr>
        <w:t>，</w:t>
      </w:r>
      <w:r>
        <w:rPr>
          <w:rFonts w:hint="eastAsia" w:ascii="仿宋_GB2312"/>
        </w:rPr>
        <w:t>如市委政法委已将市级配套资金下拨至某县委政法委，由该县委政法委拨付至县卫计局，但由于县级财政资金配套未到位，故县卫计局未将市级配套补助资金发放给补助者，影响了了市级配套资金的使用效率。</w:t>
      </w:r>
    </w:p>
    <w:p>
      <w:pPr>
        <w:pStyle w:val="17"/>
        <w:spacing w:line="360" w:lineRule="auto"/>
        <w:ind w:firstLine="664"/>
        <w:rPr>
          <w:rFonts w:ascii="仿宋_GB2312"/>
        </w:rPr>
      </w:pPr>
      <w:r>
        <w:rPr>
          <w:rFonts w:hint="eastAsia" w:ascii="仿宋_GB2312"/>
        </w:rPr>
        <w:t>2．个别地区工作流程不规范</w:t>
      </w:r>
    </w:p>
    <w:p>
      <w:pPr>
        <w:pStyle w:val="17"/>
        <w:spacing w:line="360" w:lineRule="auto"/>
        <w:ind w:firstLine="664"/>
        <w:rPr>
          <w:rFonts w:ascii="仿宋_GB2312"/>
        </w:rPr>
      </w:pPr>
      <w:r>
        <w:rPr>
          <w:rFonts w:hint="eastAsia" w:ascii="仿宋_GB2312"/>
        </w:rPr>
        <w:t>如个别街道办事处、社区居委会与患者监护人在签订《</w:t>
      </w:r>
      <w:r>
        <w:rPr>
          <w:rFonts w:hint="eastAsia" w:ascii="仿宋_GB2312"/>
          <w:lang w:eastAsia="zh-CN"/>
        </w:rPr>
        <w:t>精神障碍患者监护人</w:t>
      </w:r>
      <w:r>
        <w:rPr>
          <w:rFonts w:hint="eastAsia" w:ascii="仿宋_GB2312"/>
        </w:rPr>
        <w:t>监护责任书》的工作进度受限，导致该项工作未能在实施细则规定时间内完成；个别区卫计局与患者监护人签订一份《</w:t>
      </w:r>
      <w:r>
        <w:rPr>
          <w:rFonts w:hint="eastAsia" w:ascii="仿宋_GB2312"/>
          <w:lang w:eastAsia="zh-CN"/>
        </w:rPr>
        <w:t>精神障碍患者监护人</w:t>
      </w:r>
      <w:r>
        <w:rPr>
          <w:rFonts w:hint="eastAsia" w:ascii="仿宋_GB2312"/>
        </w:rPr>
        <w:t>监护责任书》，留存于监护人手中，在实地评价过程中无法提供该资料。</w:t>
      </w:r>
    </w:p>
    <w:p>
      <w:pPr>
        <w:pStyle w:val="17"/>
        <w:spacing w:line="360" w:lineRule="auto"/>
        <w:ind w:firstLine="664"/>
        <w:rPr>
          <w:rFonts w:ascii="仿宋_GB2312"/>
        </w:rPr>
      </w:pPr>
      <w:r>
        <w:rPr>
          <w:rFonts w:hint="eastAsia" w:ascii="仿宋_GB2312"/>
        </w:rPr>
        <w:t>某县</w:t>
      </w:r>
      <w:r>
        <w:rPr>
          <w:rFonts w:hint="eastAsia" w:ascii="仿宋_GB2312"/>
          <w:lang w:eastAsia="zh-CN"/>
        </w:rPr>
        <w:t>2018年</w:t>
      </w:r>
      <w:r>
        <w:rPr>
          <w:rFonts w:hint="eastAsia" w:ascii="仿宋_GB2312"/>
        </w:rPr>
        <w:t>下半年严重精神障碍患者管理工作督导中发现个别卫生所病案资料记录不及时、不完整、不规范，例如体检工作中实验室检查项目不全；随访公作中未进行分类干预，“基本稳定”和“不稳定”患者随访次数不够。</w:t>
      </w:r>
    </w:p>
    <w:p>
      <w:pPr>
        <w:pStyle w:val="19"/>
        <w:spacing w:line="360" w:lineRule="auto"/>
        <w:ind w:firstLine="800"/>
      </w:pPr>
      <w:bookmarkStart w:id="21" w:name="_Toc514330893"/>
      <w:r>
        <w:rPr>
          <w:rFonts w:hint="eastAsia"/>
        </w:rPr>
        <w:t>（三）建议和改进措施</w:t>
      </w:r>
      <w:bookmarkEnd w:id="21"/>
    </w:p>
    <w:p>
      <w:pPr>
        <w:pStyle w:val="17"/>
        <w:spacing w:line="360" w:lineRule="auto"/>
        <w:ind w:firstLine="664"/>
        <w:rPr>
          <w:rFonts w:ascii="仿宋_GB2312"/>
        </w:rPr>
      </w:pPr>
      <w:r>
        <w:rPr>
          <w:rFonts w:hint="eastAsia" w:ascii="仿宋_GB2312"/>
        </w:rPr>
        <w:t>1．保证资金来源，确保项目按进度顺利开展：各县（市）区、开发（度假）园区财政部门应严格根据实际情况，将“以奖代补”所需资金列入本级财政预算，以确保奖励资金足额拨付本级卫计委并兑现给监护人。市级应及时下拨市级资金，保证项目的顺利进行。</w:t>
      </w:r>
    </w:p>
    <w:p>
      <w:pPr>
        <w:pStyle w:val="17"/>
        <w:spacing w:line="360" w:lineRule="auto"/>
        <w:ind w:firstLine="664"/>
        <w:rPr>
          <w:rFonts w:hint="eastAsia" w:ascii="仿宋_GB2312"/>
        </w:rPr>
      </w:pPr>
      <w:r>
        <w:rPr>
          <w:rFonts w:hint="eastAsia" w:ascii="仿宋_GB2312"/>
        </w:rPr>
        <w:t>2.加强项目监管力度，强化部门督导职责：各区（县）在今后的“以奖代补”项目实施过程中应按照《昆明市人民政府办公厅转发市综治办等部门关于落实</w:t>
      </w:r>
      <w:r>
        <w:rPr>
          <w:rFonts w:hint="eastAsia" w:ascii="仿宋_GB2312"/>
          <w:lang w:eastAsia="zh-CN"/>
        </w:rPr>
        <w:t>精神障碍患者监护人</w:t>
      </w:r>
      <w:r>
        <w:rPr>
          <w:rFonts w:hint="eastAsia" w:ascii="仿宋_GB2312"/>
        </w:rPr>
        <w:t>监护责任实施“以奖代补”工作指导意见（试行）的通知》（昆政办〔2015〕165号）的规定与要求及各地方制定的项目实施细则，规范项目实施过程；政法委、财政、公安、村（居）委会发挥各自的监督指导职能，保证</w:t>
      </w:r>
      <w:r>
        <w:rPr>
          <w:rFonts w:hint="eastAsia" w:ascii="仿宋_GB2312"/>
          <w:lang w:eastAsia="zh-CN"/>
        </w:rPr>
        <w:t>精神障碍患者监护人</w:t>
      </w:r>
      <w:r>
        <w:rPr>
          <w:rFonts w:hint="eastAsia" w:ascii="仿宋_GB2312"/>
        </w:rPr>
        <w:t>监护责任实施“以奖代补”项目的规范性。</w:t>
      </w:r>
    </w:p>
    <w:p>
      <w:pPr>
        <w:pStyle w:val="17"/>
        <w:spacing w:line="360" w:lineRule="auto"/>
        <w:ind w:firstLine="664"/>
        <w:rPr>
          <w:rFonts w:hint="eastAsia" w:ascii="仿宋_GB2312"/>
        </w:rPr>
      </w:pPr>
    </w:p>
    <w:p>
      <w:pPr>
        <w:pStyle w:val="17"/>
        <w:spacing w:line="360" w:lineRule="auto"/>
        <w:ind w:firstLine="664"/>
        <w:jc w:val="right"/>
        <w:rPr>
          <w:rFonts w:hint="eastAsia" w:ascii="仿宋_GB2312"/>
          <w:lang w:eastAsia="zh-CN"/>
        </w:rPr>
      </w:pPr>
      <w:r>
        <w:rPr>
          <w:rFonts w:hint="eastAsia" w:ascii="仿宋_GB2312"/>
          <w:lang w:eastAsia="zh-CN"/>
        </w:rPr>
        <w:t>中共昆明市委政法委</w:t>
      </w:r>
    </w:p>
    <w:p>
      <w:pPr>
        <w:pStyle w:val="17"/>
        <w:spacing w:line="360" w:lineRule="auto"/>
        <w:ind w:firstLine="664"/>
        <w:jc w:val="right"/>
        <w:rPr>
          <w:rFonts w:hint="eastAsia" w:ascii="仿宋_GB2312"/>
          <w:lang w:val="en-US" w:eastAsia="zh-CN"/>
        </w:rPr>
      </w:pPr>
      <w:r>
        <w:rPr>
          <w:rFonts w:hint="eastAsia" w:ascii="仿宋_GB2312"/>
          <w:lang w:val="en-US" w:eastAsia="zh-CN"/>
        </w:rPr>
        <w:t>2019年5月27日</w:t>
      </w:r>
    </w:p>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numPr>
        <w:ilvl w:val="0"/>
        <w:numId w:val="1"/>
      </w:numPr>
      <w:jc w:val="right"/>
    </w:pPr>
    <w:sdt>
      <w:sdtPr>
        <w:rPr>
          <w:rFonts w:ascii="宋体" w:hAnsi="宋体" w:eastAsia="宋体"/>
          <w:sz w:val="28"/>
          <w:szCs w:val="28"/>
        </w:rPr>
        <w:id w:val="-2038491812"/>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19</w:t>
        </w:r>
        <w:r>
          <w:rPr>
            <w:rFonts w:ascii="宋体" w:hAnsi="宋体" w:eastAsia="宋体"/>
            <w:sz w:val="28"/>
            <w:szCs w:val="28"/>
          </w:rPr>
          <w:fldChar w:fldCharType="end"/>
        </w:r>
        <w:r>
          <w:rPr>
            <w:rFonts w:hint="eastAsia" w:ascii="宋体" w:hAnsi="宋体" w:eastAsia="宋体"/>
            <w:sz w:val="28"/>
            <w:szCs w:val="28"/>
          </w:rPr>
          <w:t xml:space="preserve"> -</w:t>
        </w:r>
      </w:sdtContent>
    </w:sdt>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numPr>
        <w:ilvl w:val="0"/>
        <w:numId w:val="2"/>
      </w:numPr>
      <w:rPr>
        <w:sz w:val="28"/>
        <w:szCs w:val="28"/>
      </w:rPr>
    </w:pPr>
    <w:sdt>
      <w:sdtPr>
        <w:rPr>
          <w:rFonts w:ascii="宋体" w:hAnsi="宋体" w:eastAsia="宋体"/>
          <w:sz w:val="28"/>
          <w:szCs w:val="28"/>
        </w:rPr>
        <w:id w:val="10530758"/>
      </w:sdtPr>
      <w:sdtEndPr>
        <w:rPr>
          <w:rFonts w:asciiTheme="minorHAnsi" w:hAnsiTheme="minorHAnsi" w:eastAsiaTheme="minorEastAsia"/>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20</w:t>
        </w:r>
        <w:r>
          <w:rPr>
            <w:rFonts w:ascii="宋体" w:hAnsi="宋体" w:eastAsia="宋体"/>
            <w:sz w:val="28"/>
            <w:szCs w:val="28"/>
          </w:rPr>
          <w:fldChar w:fldCharType="end"/>
        </w:r>
        <w:r>
          <w:rPr>
            <w:rFonts w:hint="eastAsia" w:ascii="宋体" w:hAnsi="宋体" w:eastAsia="宋体"/>
            <w:sz w:val="28"/>
            <w:szCs w:val="28"/>
          </w:rPr>
          <w:t xml:space="preserve"> -</w:t>
        </w:r>
      </w:sdtContent>
    </w:sdt>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E84"/>
    <w:multiLevelType w:val="multilevel"/>
    <w:tmpl w:val="083C0E84"/>
    <w:lvl w:ilvl="0" w:tentative="0">
      <w:start w:val="0"/>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C3447EA"/>
    <w:multiLevelType w:val="multilevel"/>
    <w:tmpl w:val="3C3447EA"/>
    <w:lvl w:ilvl="0" w:tentative="0">
      <w:start w:val="0"/>
      <w:numFmt w:val="bullet"/>
      <w:lvlText w:val="-"/>
      <w:lvlJc w:val="left"/>
      <w:pPr>
        <w:ind w:left="720" w:hanging="360"/>
      </w:pPr>
      <w:rPr>
        <w:rFonts w:hint="eastAsia" w:ascii="宋体" w:hAnsi="宋体" w:eastAsia="宋体" w:cstheme="minorBidi"/>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43D2"/>
    <w:rsid w:val="00024082"/>
    <w:rsid w:val="000510C1"/>
    <w:rsid w:val="00076D42"/>
    <w:rsid w:val="00087395"/>
    <w:rsid w:val="000A40CB"/>
    <w:rsid w:val="000B05C6"/>
    <w:rsid w:val="000C2F57"/>
    <w:rsid w:val="00102B49"/>
    <w:rsid w:val="001062A1"/>
    <w:rsid w:val="001409DF"/>
    <w:rsid w:val="001713A4"/>
    <w:rsid w:val="00194038"/>
    <w:rsid w:val="001A366A"/>
    <w:rsid w:val="001C330C"/>
    <w:rsid w:val="001D6A2B"/>
    <w:rsid w:val="001E1C76"/>
    <w:rsid w:val="001E1E8C"/>
    <w:rsid w:val="001E49CB"/>
    <w:rsid w:val="00206919"/>
    <w:rsid w:val="00251C29"/>
    <w:rsid w:val="0027477D"/>
    <w:rsid w:val="002B5FBE"/>
    <w:rsid w:val="002B7003"/>
    <w:rsid w:val="002D4692"/>
    <w:rsid w:val="002E1CF8"/>
    <w:rsid w:val="002E6FC8"/>
    <w:rsid w:val="002F488C"/>
    <w:rsid w:val="00316672"/>
    <w:rsid w:val="003267A1"/>
    <w:rsid w:val="00333090"/>
    <w:rsid w:val="00345405"/>
    <w:rsid w:val="00346EB2"/>
    <w:rsid w:val="00360A50"/>
    <w:rsid w:val="00381ED2"/>
    <w:rsid w:val="003B4120"/>
    <w:rsid w:val="003B4D75"/>
    <w:rsid w:val="003B595C"/>
    <w:rsid w:val="003C1172"/>
    <w:rsid w:val="003C688B"/>
    <w:rsid w:val="003E0303"/>
    <w:rsid w:val="003E6F2C"/>
    <w:rsid w:val="00400D61"/>
    <w:rsid w:val="00411811"/>
    <w:rsid w:val="0044177A"/>
    <w:rsid w:val="004635DA"/>
    <w:rsid w:val="00472BC9"/>
    <w:rsid w:val="00487F5A"/>
    <w:rsid w:val="00493C70"/>
    <w:rsid w:val="004B0968"/>
    <w:rsid w:val="004B41D6"/>
    <w:rsid w:val="004B594B"/>
    <w:rsid w:val="004C25E7"/>
    <w:rsid w:val="00532AFC"/>
    <w:rsid w:val="005345A4"/>
    <w:rsid w:val="00553438"/>
    <w:rsid w:val="005559EF"/>
    <w:rsid w:val="0055629E"/>
    <w:rsid w:val="00581520"/>
    <w:rsid w:val="005B37FE"/>
    <w:rsid w:val="005C21D9"/>
    <w:rsid w:val="00605E3E"/>
    <w:rsid w:val="00624379"/>
    <w:rsid w:val="006325D1"/>
    <w:rsid w:val="006479A1"/>
    <w:rsid w:val="00654C1B"/>
    <w:rsid w:val="006A4E6E"/>
    <w:rsid w:val="006B30E4"/>
    <w:rsid w:val="006B6DF9"/>
    <w:rsid w:val="006C79C5"/>
    <w:rsid w:val="006D0889"/>
    <w:rsid w:val="006E0BCF"/>
    <w:rsid w:val="006E7CDD"/>
    <w:rsid w:val="00725E62"/>
    <w:rsid w:val="00726756"/>
    <w:rsid w:val="00735473"/>
    <w:rsid w:val="00766141"/>
    <w:rsid w:val="00767C39"/>
    <w:rsid w:val="007A0F43"/>
    <w:rsid w:val="007F37BE"/>
    <w:rsid w:val="007F5E5B"/>
    <w:rsid w:val="00831D82"/>
    <w:rsid w:val="00836014"/>
    <w:rsid w:val="008433F9"/>
    <w:rsid w:val="00853798"/>
    <w:rsid w:val="00872221"/>
    <w:rsid w:val="008729E5"/>
    <w:rsid w:val="008957A4"/>
    <w:rsid w:val="008F3B8A"/>
    <w:rsid w:val="008F7548"/>
    <w:rsid w:val="0091673D"/>
    <w:rsid w:val="00942276"/>
    <w:rsid w:val="00942B1A"/>
    <w:rsid w:val="00982875"/>
    <w:rsid w:val="00990C2D"/>
    <w:rsid w:val="00993397"/>
    <w:rsid w:val="009A5D87"/>
    <w:rsid w:val="009A7AD5"/>
    <w:rsid w:val="009C03DA"/>
    <w:rsid w:val="009E43D2"/>
    <w:rsid w:val="009E60C8"/>
    <w:rsid w:val="009F065F"/>
    <w:rsid w:val="00A26245"/>
    <w:rsid w:val="00A30BED"/>
    <w:rsid w:val="00A37010"/>
    <w:rsid w:val="00A6074A"/>
    <w:rsid w:val="00A74D8E"/>
    <w:rsid w:val="00A87BCE"/>
    <w:rsid w:val="00A96073"/>
    <w:rsid w:val="00AA761F"/>
    <w:rsid w:val="00AB0984"/>
    <w:rsid w:val="00AB4293"/>
    <w:rsid w:val="00AC6983"/>
    <w:rsid w:val="00AD3DBC"/>
    <w:rsid w:val="00AE3AC0"/>
    <w:rsid w:val="00AF66AA"/>
    <w:rsid w:val="00B555D6"/>
    <w:rsid w:val="00B73C7F"/>
    <w:rsid w:val="00B846AD"/>
    <w:rsid w:val="00BD66E0"/>
    <w:rsid w:val="00BE63C4"/>
    <w:rsid w:val="00C1727F"/>
    <w:rsid w:val="00C178E8"/>
    <w:rsid w:val="00C20C1D"/>
    <w:rsid w:val="00C975CE"/>
    <w:rsid w:val="00CB211E"/>
    <w:rsid w:val="00CC04CE"/>
    <w:rsid w:val="00CC3670"/>
    <w:rsid w:val="00CE407A"/>
    <w:rsid w:val="00CF365D"/>
    <w:rsid w:val="00D12E77"/>
    <w:rsid w:val="00D13486"/>
    <w:rsid w:val="00D25237"/>
    <w:rsid w:val="00D84995"/>
    <w:rsid w:val="00DA5366"/>
    <w:rsid w:val="00DF3194"/>
    <w:rsid w:val="00DF7CF7"/>
    <w:rsid w:val="00E16791"/>
    <w:rsid w:val="00E16E73"/>
    <w:rsid w:val="00E30158"/>
    <w:rsid w:val="00E31CB6"/>
    <w:rsid w:val="00E41203"/>
    <w:rsid w:val="00E7301E"/>
    <w:rsid w:val="00EF1F82"/>
    <w:rsid w:val="00F21043"/>
    <w:rsid w:val="00F27C3D"/>
    <w:rsid w:val="00F308EC"/>
    <w:rsid w:val="00F342DA"/>
    <w:rsid w:val="00F343E9"/>
    <w:rsid w:val="00F67E4F"/>
    <w:rsid w:val="00F81BD5"/>
    <w:rsid w:val="00FB24DC"/>
    <w:rsid w:val="00FC7378"/>
    <w:rsid w:val="00FD5354"/>
    <w:rsid w:val="00FF59EB"/>
    <w:rsid w:val="1F6A192E"/>
    <w:rsid w:val="34736FDD"/>
    <w:rsid w:val="42317F56"/>
    <w:rsid w:val="4F5407F0"/>
    <w:rsid w:val="5285192D"/>
    <w:rsid w:val="7C330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2"/>
    <w:basedOn w:val="1"/>
    <w:next w:val="1"/>
    <w:link w:val="16"/>
    <w:qFormat/>
    <w:uiPriority w:val="0"/>
    <w:pPr>
      <w:keepNext/>
      <w:keepLines/>
      <w:widowControl/>
      <w:overflowPunct w:val="0"/>
      <w:autoSpaceDE w:val="0"/>
      <w:autoSpaceDN w:val="0"/>
      <w:adjustRightInd w:val="0"/>
      <w:spacing w:before="260" w:after="260" w:line="416" w:lineRule="auto"/>
      <w:outlineLvl w:val="1"/>
    </w:pPr>
    <w:rPr>
      <w:rFonts w:ascii="Arial" w:hAnsi="Arial" w:eastAsia="黑体"/>
      <w:b/>
      <w:bCs/>
      <w:kern w:val="0"/>
      <w:szCs w:val="32"/>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link w:val="29"/>
    <w:unhideWhenUsed/>
    <w:qFormat/>
    <w:uiPriority w:val="99"/>
    <w:rPr>
      <w:rFonts w:ascii="宋体" w:eastAsia="宋体"/>
      <w:sz w:val="18"/>
      <w:szCs w:val="18"/>
    </w:rPr>
  </w:style>
  <w:style w:type="paragraph" w:styleId="4">
    <w:name w:val="annotation text"/>
    <w:basedOn w:val="1"/>
    <w:link w:val="25"/>
    <w:unhideWhenUsed/>
    <w:qFormat/>
    <w:uiPriority w:val="99"/>
    <w:pPr>
      <w:jc w:val="left"/>
    </w:pPr>
  </w:style>
  <w:style w:type="paragraph" w:styleId="5">
    <w:name w:val="Balloon Text"/>
    <w:basedOn w:val="1"/>
    <w:link w:val="28"/>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unhideWhenUsed/>
    <w:qFormat/>
    <w:uiPriority w:val="39"/>
    <w:pPr>
      <w:tabs>
        <w:tab w:val="right" w:leader="dot" w:pos="8296"/>
      </w:tabs>
      <w:jc w:val="center"/>
    </w:pPr>
    <w:rPr>
      <w:rFonts w:ascii="宋体" w:hAnsi="宋体" w:eastAsia="宋体"/>
      <w:sz w:val="28"/>
      <w:szCs w:val="28"/>
    </w:rPr>
  </w:style>
  <w:style w:type="paragraph" w:styleId="9">
    <w:name w:val="annotation subject"/>
    <w:basedOn w:val="4"/>
    <w:next w:val="4"/>
    <w:link w:val="26"/>
    <w:unhideWhenUsed/>
    <w:qFormat/>
    <w:uiPriority w:val="99"/>
    <w:rPr>
      <w:b/>
      <w:bCs/>
    </w:rPr>
  </w:style>
  <w:style w:type="character" w:styleId="12">
    <w:name w:val="Hyperlink"/>
    <w:basedOn w:val="11"/>
    <w:unhideWhenUsed/>
    <w:qFormat/>
    <w:uiPriority w:val="99"/>
    <w:rPr>
      <w:color w:val="0000FF" w:themeColor="hyperlink"/>
      <w:u w:val="single"/>
    </w:rPr>
  </w:style>
  <w:style w:type="character" w:styleId="13">
    <w:name w:val="annotation reference"/>
    <w:basedOn w:val="11"/>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标题 2 Char"/>
    <w:basedOn w:val="11"/>
    <w:link w:val="2"/>
    <w:qFormat/>
    <w:uiPriority w:val="0"/>
    <w:rPr>
      <w:rFonts w:ascii="Arial" w:hAnsi="Arial" w:eastAsia="黑体" w:cs="Times New Roman"/>
      <w:b/>
      <w:bCs/>
      <w:kern w:val="0"/>
      <w:sz w:val="32"/>
      <w:szCs w:val="32"/>
    </w:rPr>
  </w:style>
  <w:style w:type="paragraph" w:customStyle="1" w:styleId="17">
    <w:name w:val="标准样式"/>
    <w:basedOn w:val="1"/>
    <w:link w:val="18"/>
    <w:qFormat/>
    <w:uiPriority w:val="0"/>
    <w:pPr>
      <w:spacing w:line="590" w:lineRule="exact"/>
      <w:ind w:firstLine="656" w:firstLineChars="200"/>
    </w:pPr>
    <w:rPr>
      <w:spacing w:val="6"/>
      <w:szCs w:val="32"/>
    </w:rPr>
  </w:style>
  <w:style w:type="character" w:customStyle="1" w:styleId="18">
    <w:name w:val="标准样式 Char"/>
    <w:basedOn w:val="11"/>
    <w:link w:val="17"/>
    <w:qFormat/>
    <w:uiPriority w:val="0"/>
    <w:rPr>
      <w:rFonts w:ascii="Times New Roman" w:hAnsi="Times New Roman" w:eastAsia="仿宋_GB2312" w:cs="Times New Roman"/>
      <w:spacing w:val="6"/>
      <w:sz w:val="32"/>
      <w:szCs w:val="32"/>
    </w:rPr>
  </w:style>
  <w:style w:type="paragraph" w:customStyle="1" w:styleId="19">
    <w:name w:val="2级标题"/>
    <w:basedOn w:val="1"/>
    <w:link w:val="20"/>
    <w:qFormat/>
    <w:uiPriority w:val="0"/>
    <w:pPr>
      <w:topLinePunct/>
      <w:spacing w:line="590" w:lineRule="exact"/>
      <w:ind w:firstLine="790" w:firstLineChars="250"/>
      <w:outlineLvl w:val="0"/>
    </w:pPr>
    <w:rPr>
      <w:rFonts w:ascii="楷体" w:hAnsi="楷体" w:eastAsia="楷体"/>
      <w:szCs w:val="32"/>
    </w:rPr>
  </w:style>
  <w:style w:type="character" w:customStyle="1" w:styleId="20">
    <w:name w:val="2级标题 Char"/>
    <w:basedOn w:val="11"/>
    <w:link w:val="19"/>
    <w:qFormat/>
    <w:uiPriority w:val="0"/>
    <w:rPr>
      <w:rFonts w:ascii="楷体" w:hAnsi="楷体" w:eastAsia="楷体" w:cs="Times New Roman"/>
      <w:sz w:val="32"/>
      <w:szCs w:val="32"/>
    </w:rPr>
  </w:style>
  <w:style w:type="paragraph" w:customStyle="1" w:styleId="21">
    <w:name w:val="List Paragraph"/>
    <w:basedOn w:val="1"/>
    <w:qFormat/>
    <w:uiPriority w:val="34"/>
    <w:pPr>
      <w:ind w:firstLine="420" w:firstLineChars="200"/>
    </w:pPr>
  </w:style>
  <w:style w:type="paragraph" w:customStyle="1" w:styleId="22">
    <w:name w:val="1级标题"/>
    <w:basedOn w:val="19"/>
    <w:link w:val="23"/>
    <w:qFormat/>
    <w:uiPriority w:val="0"/>
    <w:pPr>
      <w:ind w:firstLine="800"/>
    </w:pPr>
    <w:rPr>
      <w:rFonts w:ascii="黑体" w:hAnsi="黑体" w:eastAsia="黑体"/>
    </w:rPr>
  </w:style>
  <w:style w:type="character" w:customStyle="1" w:styleId="23">
    <w:name w:val="1级标题 Char"/>
    <w:basedOn w:val="20"/>
    <w:link w:val="22"/>
    <w:qFormat/>
    <w:uiPriority w:val="0"/>
    <w:rPr>
      <w:rFonts w:ascii="黑体" w:hAnsi="黑体" w:eastAsia="黑体" w:cs="Times New Roman"/>
      <w:sz w:val="32"/>
      <w:szCs w:val="32"/>
    </w:rPr>
  </w:style>
  <w:style w:type="paragraph" w:customStyle="1" w:styleId="24">
    <w:name w:val="正文 A"/>
    <w:qFormat/>
    <w:uiPriority w:val="99"/>
    <w:pPr>
      <w:spacing w:after="200" w:line="276" w:lineRule="auto"/>
    </w:pPr>
    <w:rPr>
      <w:rFonts w:ascii="Calibri" w:hAnsi="Calibri" w:eastAsia="宋体" w:cs="Calibri"/>
      <w:color w:val="000000"/>
      <w:kern w:val="0"/>
      <w:sz w:val="22"/>
      <w:szCs w:val="22"/>
      <w:u w:color="000000"/>
      <w:lang w:val="en-US" w:eastAsia="zh-CN" w:bidi="ar-SA"/>
    </w:rPr>
  </w:style>
  <w:style w:type="character" w:customStyle="1" w:styleId="25">
    <w:name w:val="批注文字 Char"/>
    <w:basedOn w:val="11"/>
    <w:link w:val="4"/>
    <w:semiHidden/>
    <w:qFormat/>
    <w:uiPriority w:val="99"/>
    <w:rPr>
      <w:rFonts w:ascii="Times New Roman" w:hAnsi="Times New Roman" w:eastAsia="仿宋_GB2312" w:cs="Times New Roman"/>
      <w:sz w:val="32"/>
      <w:szCs w:val="20"/>
    </w:rPr>
  </w:style>
  <w:style w:type="character" w:customStyle="1" w:styleId="26">
    <w:name w:val="批注主题 Char"/>
    <w:basedOn w:val="25"/>
    <w:link w:val="9"/>
    <w:semiHidden/>
    <w:qFormat/>
    <w:uiPriority w:val="99"/>
    <w:rPr>
      <w:rFonts w:ascii="Times New Roman" w:hAnsi="Times New Roman" w:eastAsia="仿宋_GB2312" w:cs="Times New Roman"/>
      <w:b/>
      <w:bCs/>
      <w:sz w:val="32"/>
      <w:szCs w:val="20"/>
    </w:rPr>
  </w:style>
  <w:style w:type="paragraph" w:customStyle="1" w:styleId="27">
    <w:name w:val="Revision"/>
    <w:hidden/>
    <w:semiHidden/>
    <w:qFormat/>
    <w:uiPriority w:val="99"/>
    <w:rPr>
      <w:rFonts w:ascii="Times New Roman" w:hAnsi="Times New Roman" w:eastAsia="仿宋_GB2312" w:cs="Times New Roman"/>
      <w:kern w:val="2"/>
      <w:sz w:val="32"/>
      <w:szCs w:val="20"/>
      <w:lang w:val="en-US" w:eastAsia="zh-CN" w:bidi="ar-SA"/>
    </w:rPr>
  </w:style>
  <w:style w:type="character" w:customStyle="1" w:styleId="28">
    <w:name w:val="批注框文本 Char"/>
    <w:basedOn w:val="11"/>
    <w:link w:val="5"/>
    <w:semiHidden/>
    <w:qFormat/>
    <w:uiPriority w:val="99"/>
    <w:rPr>
      <w:rFonts w:ascii="Times New Roman" w:hAnsi="Times New Roman" w:eastAsia="仿宋_GB2312" w:cs="Times New Roman"/>
      <w:sz w:val="18"/>
      <w:szCs w:val="18"/>
    </w:rPr>
  </w:style>
  <w:style w:type="character" w:customStyle="1" w:styleId="29">
    <w:name w:val="文档结构图 Char"/>
    <w:basedOn w:val="11"/>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35CED-3525-4246-8CEF-6E53F4A0A751}">
  <ds:schemaRefs/>
</ds:datastoreItem>
</file>

<file path=docProps/app.xml><?xml version="1.0" encoding="utf-8"?>
<Properties xmlns="http://schemas.openxmlformats.org/officeDocument/2006/extended-properties" xmlns:vt="http://schemas.openxmlformats.org/officeDocument/2006/docPropsVTypes">
  <Template>Normal</Template>
  <Pages>24</Pages>
  <Words>1645</Words>
  <Characters>9377</Characters>
  <Lines>78</Lines>
  <Paragraphs>21</Paragraphs>
  <TotalTime>6</TotalTime>
  <ScaleCrop>false</ScaleCrop>
  <LinksUpToDate>false</LinksUpToDate>
  <CharactersWithSpaces>11001</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2018-05-21T08:55:00Z</dcterms:created>
  <dc:creator>游仕才</dc:creator>
  <cp:lastModifiedBy>Administrator</cp:lastModifiedBy>
  <dcterms:modified xsi:type="dcterms:W3CDTF">2019-05-31T02:46:21Z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