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spacing w:val="-20"/>
          <w:szCs w:val="32"/>
        </w:rPr>
      </w:pPr>
      <w:bookmarkStart w:id="1" w:name="_GoBack"/>
      <w:bookmarkStart w:id="0" w:name="OLE_LINK1"/>
      <w:r>
        <w:rPr>
          <w:rFonts w:eastAsia="方正小标宋简体"/>
          <w:spacing w:val="-20"/>
          <w:szCs w:val="32"/>
        </w:rPr>
        <w:t>中国共产党昆明市委员会政法委员会2017年度</w:t>
      </w:r>
    </w:p>
    <w:p>
      <w:pPr>
        <w:spacing w:line="600" w:lineRule="exact"/>
        <w:ind w:firstLine="560" w:firstLineChars="200"/>
        <w:jc w:val="center"/>
        <w:rPr>
          <w:rFonts w:eastAsia="方正小标宋简体"/>
          <w:spacing w:val="-20"/>
          <w:sz w:val="36"/>
          <w:szCs w:val="36"/>
        </w:rPr>
      </w:pPr>
      <w:r>
        <w:rPr>
          <w:rFonts w:eastAsia="方正小标宋简体"/>
          <w:spacing w:val="-20"/>
          <w:szCs w:val="32"/>
        </w:rPr>
        <w:t>部门整体支出绩效评价报告</w:t>
      </w:r>
      <w:bookmarkEnd w:id="0"/>
    </w:p>
    <w:bookmarkEnd w:id="1"/>
    <w:p>
      <w:pPr>
        <w:spacing w:line="600" w:lineRule="exact"/>
        <w:ind w:firstLine="640" w:firstLineChars="200"/>
        <w:jc w:val="left"/>
        <w:rPr>
          <w:rFonts w:eastAsia="黑体"/>
          <w:szCs w:val="32"/>
        </w:rPr>
      </w:pPr>
    </w:p>
    <w:p>
      <w:pPr>
        <w:spacing w:line="640" w:lineRule="exact"/>
        <w:ind w:firstLine="640" w:firstLineChars="200"/>
        <w:rPr>
          <w:szCs w:val="32"/>
        </w:rPr>
      </w:pPr>
      <w:r>
        <w:rPr>
          <w:rFonts w:hAnsi="黑体" w:eastAsia="黑体"/>
          <w:szCs w:val="32"/>
        </w:rPr>
        <w:t>一、部门情况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（一）</w:t>
      </w:r>
      <w:r>
        <w:rPr>
          <w:szCs w:val="32"/>
        </w:rPr>
        <w:t>部门主要职责有：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szCs w:val="32"/>
        </w:rPr>
        <w:t>1.根据党的路线、方针、政策和市委的部署，统一政法部门的思想和行动；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szCs w:val="32"/>
        </w:rPr>
        <w:t>2.协助市委研究制定政法工作的政策、部署，对一定时期内全市政法作出全局性部署，并督促贯彻落实；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szCs w:val="32"/>
        </w:rPr>
        <w:t>3.组织协调指导全市维护社会稳定工作；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szCs w:val="32"/>
        </w:rPr>
        <w:t>4.支持和监督政法各部门依法行使职权，指导和协调政法各部门依法互相制约、密切配合；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szCs w:val="32"/>
        </w:rPr>
        <w:t xml:space="preserve">5. 组织推动社会治安综合治理工作； 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szCs w:val="32"/>
        </w:rPr>
        <w:t>6. 组织推动政法战线的调查研究工作，推动政法工作改革；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7</w:t>
      </w:r>
      <w:r>
        <w:rPr>
          <w:szCs w:val="32"/>
        </w:rPr>
        <w:t>.研究指导政法队伍建设和政法各部门领导班子建设，协助市委及市委组织部考察、管理政法部门的领导干部；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8</w:t>
      </w:r>
      <w:r>
        <w:rPr>
          <w:szCs w:val="32"/>
        </w:rPr>
        <w:t>.协助纪检、监察部门查处政法机关领导干部违法犯罪的案件；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9</w:t>
      </w:r>
      <w:r>
        <w:rPr>
          <w:szCs w:val="32"/>
        </w:rPr>
        <w:t>.指导各县（市）区委政法委的工作；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szCs w:val="32"/>
        </w:rPr>
        <w:t>1</w:t>
      </w:r>
      <w:r>
        <w:rPr>
          <w:rFonts w:hint="eastAsia"/>
          <w:szCs w:val="32"/>
        </w:rPr>
        <w:t>0</w:t>
      </w:r>
      <w:r>
        <w:rPr>
          <w:szCs w:val="32"/>
        </w:rPr>
        <w:t>.完成市委和省委政法委交办的其他任务。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（二）</w:t>
      </w:r>
      <w:r>
        <w:rPr>
          <w:szCs w:val="32"/>
        </w:rPr>
        <w:t>2017年重点工作计划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szCs w:val="32"/>
        </w:rPr>
        <w:t>2017年中国共产党昆明市委员会政法委员会主要完成以下重点工作：网格化服务管理；治保会、调解会工作；严重精神障碍患者监护责任“以奖代补”工作；国家司法救助工作；平安建设工作；“依法治市”工作；打击处理违法犯罪及重点人员包保控制工作；警示教育宣传与回访帮教工作；维护社会稳定工作；保密工作；政法宣传教育培训工作；深化司法体制改革工作；市委依法治市领导小组专项组工作；政法调研、综治、平安建设等工作；法学会建设工作；政法调研工作；铁路护路联防工作；综治工作；因公伤亡干警慰问；涉法涉诉信访工作；未成年人司法项目工作；见义勇为表彰奖励；市综治委专项组工作等。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szCs w:val="32"/>
        </w:rPr>
        <w:t>3.部门整体支出安排及使用情况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szCs w:val="32"/>
        </w:rPr>
        <w:t>2017年批复预算总额为3,021.52万元，其中：基本支出预算1,283.42万元，项目支出预算1,738.10万元。决算数为1,981.42万元，其中：基本支出为1,280.93万元，项目支出为700.49万元。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rFonts w:hAnsi="黑体" w:eastAsia="黑体"/>
          <w:szCs w:val="32"/>
        </w:rPr>
        <w:t>二、评价结论及绩效分析：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szCs w:val="32"/>
        </w:rPr>
        <w:t>中国共产党昆明市委员会政法委员会2017年部门整体支出绩效评价综合得分93.89分，评价等级为“优”。市委政法委2017年目标设定和预算配置基本合理，部门职责履行较好，部门履职效益较好，预期效益基本实现。</w:t>
      </w:r>
    </w:p>
    <w:p>
      <w:pPr>
        <w:spacing w:line="640" w:lineRule="exact"/>
        <w:ind w:firstLine="640" w:firstLineChars="200"/>
        <w:rPr>
          <w:rFonts w:eastAsia="黑体"/>
          <w:szCs w:val="32"/>
        </w:rPr>
      </w:pPr>
      <w:r>
        <w:rPr>
          <w:rFonts w:hAnsi="黑体" w:eastAsia="黑体"/>
          <w:szCs w:val="32"/>
        </w:rPr>
        <w:t>三、经验、问题和建议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szCs w:val="32"/>
        </w:rPr>
        <w:t>1.经验：</w:t>
      </w:r>
    </w:p>
    <w:p>
      <w:pPr>
        <w:spacing w:line="640" w:lineRule="exact"/>
        <w:ind w:firstLine="640" w:firstLineChars="200"/>
        <w:rPr>
          <w:rFonts w:eastAsia="楷体"/>
          <w:szCs w:val="32"/>
        </w:rPr>
      </w:pPr>
      <w:r>
        <w:rPr>
          <w:szCs w:val="32"/>
        </w:rPr>
        <w:t>领导重视，提供组织保障。为认真贯彻落实相关文件精神，市委政法委成立预算绩效管理工作领导小组，各处、部、室主要负责人为成员。建章健制，提供制度保障。根据市局绩效考核办法和一系列文件精神，结合市委政法委市委政法委实际，细化指标，完善标准，制定了《中共昆明市委政法委员会预算绩效管理实施办法》，进一步明确了绩效考核工作目标，明确考核责任。使市委政法委的各项工作有标准、有措施地稳步开展。严格标准，努力提高工作任务质量。坚持以绩效管理考评为抓手，推动和促进政法工作、综治工作、政风行风建设、文明创建等工作发展。严明责任，确保各项任务有效落实。分管委领导，积极发挥示范带头作用，靠前指挥，带头研究问题、带头攻坚克难，一级带着一级干，共同落实指标中的重点工作。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szCs w:val="32"/>
        </w:rPr>
        <w:t>2.存在的问题：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szCs w:val="32"/>
        </w:rPr>
        <w:t>项目绩效目标不够清晰、可衡量，导致部分指标年末无法进行量化考核。制度建设不够完善，未制定固定资产制度建设和会计核算制度。</w:t>
      </w:r>
    </w:p>
    <w:p>
      <w:pPr>
        <w:spacing w:line="640" w:lineRule="exact"/>
        <w:ind w:firstLine="640" w:firstLineChars="200"/>
        <w:rPr>
          <w:szCs w:val="32"/>
        </w:rPr>
      </w:pPr>
      <w:r>
        <w:rPr>
          <w:szCs w:val="32"/>
        </w:rPr>
        <w:t>3.改进措施及建议：</w:t>
      </w:r>
    </w:p>
    <w:p>
      <w:pPr>
        <w:spacing w:line="640" w:lineRule="exact"/>
        <w:ind w:firstLine="640" w:firstLineChars="200"/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435" w:charSpace="0"/>
        </w:sectPr>
      </w:pPr>
      <w:r>
        <w:t>科学合理编制预算，严格执行预算。在预算执行中，严格按照预算科目支出，避免预算科目间的预算资金调剂，确实需调剂的，及时按规定程序报经批准。对项目绩效目标应根据上年度具体实施情况以及单位情况进行梳理，保证绩效目标的合理性、科学性、可衡量性。并根据自身情况，完善相关管理制度，制定会计核算制度与固定资产管理制度</w:t>
      </w:r>
      <w:r>
        <w:rPr>
          <w:rFonts w:hint="eastAsi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399456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1678271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6EB"/>
    <w:rsid w:val="000A36EB"/>
    <w:rsid w:val="001B1A90"/>
    <w:rsid w:val="00225963"/>
    <w:rsid w:val="00B66501"/>
    <w:rsid w:val="00BC6693"/>
    <w:rsid w:val="00BE4E99"/>
    <w:rsid w:val="00DE7DEE"/>
    <w:rsid w:val="00F4007C"/>
    <w:rsid w:val="56E4372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rFonts w:eastAsia="仿宋_GB2312"/>
      <w:kern w:val="2"/>
      <w:sz w:val="18"/>
      <w:szCs w:val="18"/>
    </w:rPr>
  </w:style>
  <w:style w:type="character" w:customStyle="1" w:styleId="7">
    <w:name w:val="页眉 Char"/>
    <w:basedOn w:val="4"/>
    <w:link w:val="3"/>
    <w:semiHidden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221</Words>
  <Characters>1262</Characters>
  <Lines>10</Lines>
  <Paragraphs>2</Paragraphs>
  <TotalTime>0</TotalTime>
  <ScaleCrop>false</ScaleCrop>
  <LinksUpToDate>false</LinksUpToDate>
  <CharactersWithSpaces>1481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2018-09-30T06:54:00Z</dcterms:created>
  <dc:creator>ms</dc:creator>
  <cp:lastModifiedBy>石思涵</cp:lastModifiedBy>
  <dcterms:modified xsi:type="dcterms:W3CDTF">2019-02-01T02:33:01Z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